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A7B9" w14:textId="77777777" w:rsidR="00C25E6D" w:rsidRPr="003117B3" w:rsidRDefault="00C25E6D" w:rsidP="00C25E6D">
      <w:pPr>
        <w:spacing w:line="276" w:lineRule="auto"/>
        <w:jc w:val="center"/>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C25E6D" w:rsidRPr="000B7FAD" w14:paraId="625AC923"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11B34" w14:textId="76AF4307" w:rsidR="00C25E6D" w:rsidRPr="003117B3" w:rsidRDefault="00C25E6D" w:rsidP="00E30760">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1. </w:t>
            </w:r>
            <w:r w:rsidRPr="000A2F4D">
              <w:rPr>
                <w:rFonts w:ascii="Times New Roman" w:eastAsia="Times New Roman" w:hAnsi="Times New Roman" w:cs="Times New Roman"/>
                <w:b/>
                <w:color w:val="000000" w:themeColor="text1"/>
                <w:lang w:val="ro-MD"/>
              </w:rPr>
              <w:t xml:space="preserve">Titlul actului UE, inclusiv cea mai recentă modificare, </w:t>
            </w:r>
            <w:proofErr w:type="spellStart"/>
            <w:r w:rsidRPr="000A2F4D">
              <w:rPr>
                <w:rFonts w:ascii="Times New Roman" w:eastAsia="Times New Roman" w:hAnsi="Times New Roman" w:cs="Times New Roman"/>
                <w:b/>
                <w:color w:val="000000" w:themeColor="text1"/>
                <w:lang w:val="ro-MD"/>
              </w:rPr>
              <w:t>nr.CELEX</w:t>
            </w:r>
            <w:proofErr w:type="spellEnd"/>
            <w:r>
              <w:rPr>
                <w:rFonts w:ascii="Times New Roman" w:eastAsia="Times New Roman" w:hAnsi="Times New Roman" w:cs="Times New Roman"/>
                <w:b/>
                <w:color w:val="000000" w:themeColor="text1"/>
                <w:lang w:val="ro-MD"/>
              </w:rPr>
              <w:t xml:space="preserve">: </w:t>
            </w:r>
            <w:r w:rsidR="00340CBE">
              <w:rPr>
                <w:rFonts w:ascii="Times New Roman" w:eastAsia="Times New Roman" w:hAnsi="Times New Roman" w:cs="Times New Roman"/>
                <w:b/>
                <w:color w:val="000000" w:themeColor="text1"/>
                <w:lang w:val="ro-MD"/>
              </w:rPr>
              <w:t>02014R0528-20160602</w:t>
            </w:r>
          </w:p>
          <w:p w14:paraId="70ED802A" w14:textId="77777777" w:rsidR="00C25E6D" w:rsidRPr="003117B3" w:rsidRDefault="00C25E6D" w:rsidP="00E30760">
            <w:pPr>
              <w:spacing w:after="0" w:line="276" w:lineRule="auto"/>
              <w:jc w:val="both"/>
              <w:rPr>
                <w:rFonts w:ascii="Times New Roman" w:eastAsia="Times New Roman" w:hAnsi="Times New Roman" w:cs="Times New Roman"/>
                <w:color w:val="000000" w:themeColor="text1"/>
                <w:lang w:val="ro-MD"/>
              </w:rPr>
            </w:pPr>
          </w:p>
        </w:tc>
      </w:tr>
      <w:tr w:rsidR="00C25E6D" w:rsidRPr="00F650AB" w14:paraId="57D797E9"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3238C" w14:textId="44472D68" w:rsidR="00C25E6D" w:rsidRPr="003117B3" w:rsidRDefault="00AE4172" w:rsidP="00AE4172">
            <w:pPr>
              <w:spacing w:line="276" w:lineRule="auto"/>
              <w:jc w:val="both"/>
              <w:rPr>
                <w:rFonts w:ascii="Times New Roman" w:hAnsi="Times New Roman" w:cs="Times New Roman"/>
                <w:color w:val="000000" w:themeColor="text1"/>
                <w:lang w:val="ro-RO"/>
              </w:rPr>
            </w:pPr>
            <w:bookmarkStart w:id="0" w:name="_Hlk225322335"/>
            <w:r w:rsidRPr="00D14BD5">
              <w:rPr>
                <w:rFonts w:ascii="Times New Roman" w:hAnsi="Times New Roman" w:cs="Times New Roman"/>
                <w:b/>
                <w:bCs/>
                <w:color w:val="000000" w:themeColor="text1"/>
                <w:u w:val="single"/>
                <w:lang w:val="ro-MD"/>
              </w:rPr>
              <w:t>REGULAMENTUL DELEGAT (UE) NR. 528/2014</w:t>
            </w:r>
            <w:r w:rsidRPr="00AE4172">
              <w:rPr>
                <w:rFonts w:ascii="Times New Roman" w:hAnsi="Times New Roman" w:cs="Times New Roman"/>
                <w:b/>
                <w:bCs/>
                <w:color w:val="000000" w:themeColor="text1"/>
                <w:u w:val="single"/>
                <w:lang w:val="ro-MD"/>
              </w:rPr>
              <w:t xml:space="preserve"> AL COMISIEI</w:t>
            </w:r>
            <w:r>
              <w:rPr>
                <w:rFonts w:ascii="Times New Roman" w:hAnsi="Times New Roman" w:cs="Times New Roman"/>
                <w:b/>
                <w:bCs/>
                <w:color w:val="000000" w:themeColor="text1"/>
                <w:u w:val="single"/>
                <w:lang w:val="ro-MD"/>
              </w:rPr>
              <w:t xml:space="preserve"> </w:t>
            </w:r>
            <w:r w:rsidRPr="00AE4172">
              <w:rPr>
                <w:rFonts w:ascii="Times New Roman" w:hAnsi="Times New Roman" w:cs="Times New Roman"/>
                <w:b/>
                <w:bCs/>
                <w:color w:val="000000" w:themeColor="text1"/>
                <w:u w:val="single"/>
                <w:lang w:val="ro-MD"/>
              </w:rPr>
              <w:t>din 12 martie 2014</w:t>
            </w:r>
            <w:r>
              <w:rPr>
                <w:rFonts w:ascii="Times New Roman" w:hAnsi="Times New Roman" w:cs="Times New Roman"/>
                <w:b/>
                <w:bCs/>
                <w:color w:val="000000" w:themeColor="text1"/>
                <w:u w:val="single"/>
                <w:lang w:val="ro-MD"/>
              </w:rPr>
              <w:t xml:space="preserve"> </w:t>
            </w:r>
            <w:r w:rsidRPr="00AE4172">
              <w:rPr>
                <w:rFonts w:ascii="Times New Roman" w:hAnsi="Times New Roman" w:cs="Times New Roman"/>
                <w:b/>
                <w:bCs/>
                <w:color w:val="000000" w:themeColor="text1"/>
                <w:u w:val="single"/>
                <w:lang w:val="ro-MD"/>
              </w:rPr>
              <w:t>de completare a Regulamentului (UE) nr. 575/2013 al Parlamentului European și al Consiliului în</w:t>
            </w:r>
            <w:r>
              <w:rPr>
                <w:rFonts w:ascii="Times New Roman" w:hAnsi="Times New Roman" w:cs="Times New Roman"/>
                <w:b/>
                <w:bCs/>
                <w:color w:val="000000" w:themeColor="text1"/>
                <w:u w:val="single"/>
                <w:lang w:val="ro-MD"/>
              </w:rPr>
              <w:t xml:space="preserve"> </w:t>
            </w:r>
            <w:r w:rsidRPr="00AE4172">
              <w:rPr>
                <w:rFonts w:ascii="Times New Roman" w:hAnsi="Times New Roman" w:cs="Times New Roman"/>
                <w:b/>
                <w:bCs/>
                <w:color w:val="000000" w:themeColor="text1"/>
                <w:u w:val="single"/>
                <w:lang w:val="ro-MD"/>
              </w:rPr>
              <w:t>ceea ce privește standardele tehnice de reglementare pentru alte riscuri decât riscul delta ale</w:t>
            </w:r>
            <w:r>
              <w:rPr>
                <w:rFonts w:ascii="Times New Roman" w:hAnsi="Times New Roman" w:cs="Times New Roman"/>
                <w:b/>
                <w:bCs/>
                <w:color w:val="000000" w:themeColor="text1"/>
                <w:u w:val="single"/>
                <w:lang w:val="ro-MD"/>
              </w:rPr>
              <w:t xml:space="preserve"> </w:t>
            </w:r>
            <w:r w:rsidRPr="00AE4172">
              <w:rPr>
                <w:rFonts w:ascii="Times New Roman" w:hAnsi="Times New Roman" w:cs="Times New Roman"/>
                <w:b/>
                <w:bCs/>
                <w:color w:val="000000" w:themeColor="text1"/>
                <w:u w:val="single"/>
                <w:lang w:val="ro-MD"/>
              </w:rPr>
              <w:t>opțiunilor în cadrul abordării standardizate a riscului de piață</w:t>
            </w:r>
            <w:r>
              <w:rPr>
                <w:rFonts w:ascii="Times New Roman" w:hAnsi="Times New Roman" w:cs="Times New Roman"/>
                <w:b/>
                <w:bCs/>
                <w:color w:val="000000" w:themeColor="text1"/>
                <w:u w:val="single"/>
                <w:lang w:val="ro-MD"/>
              </w:rPr>
              <w:t xml:space="preserve">, modificat prin </w:t>
            </w:r>
            <w:r w:rsidRPr="00AE4172">
              <w:rPr>
                <w:rFonts w:ascii="Times New Roman" w:hAnsi="Times New Roman" w:cs="Times New Roman"/>
                <w:b/>
                <w:bCs/>
                <w:color w:val="000000" w:themeColor="text1"/>
                <w:u w:val="single"/>
                <w:lang w:val="ro-MD"/>
              </w:rPr>
              <w:t>Regulamentul delegat (UE) 2016/861 al Comisiei din 18 februarie 2016</w:t>
            </w:r>
            <w:bookmarkEnd w:id="0"/>
          </w:p>
        </w:tc>
      </w:tr>
      <w:tr w:rsidR="00C25E6D" w:rsidRPr="00F650AB" w14:paraId="6096CF98"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AE9F" w14:textId="77777777" w:rsidR="00C25E6D" w:rsidRPr="003117B3" w:rsidRDefault="00C25E6D" w:rsidP="00E30760">
            <w:pPr>
              <w:tabs>
                <w:tab w:val="left" w:pos="5088"/>
              </w:tabs>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2. </w:t>
            </w:r>
            <w:r w:rsidRPr="000A2F4D">
              <w:rPr>
                <w:rFonts w:ascii="Times New Roman" w:eastAsia="Times New Roman" w:hAnsi="Times New Roman" w:cs="Times New Roman"/>
                <w:b/>
                <w:color w:val="000000" w:themeColor="text1"/>
                <w:lang w:val="ro-MD"/>
              </w:rPr>
              <w:t xml:space="preserve">Titlul proiectului de act normativ </w:t>
            </w:r>
            <w:proofErr w:type="spellStart"/>
            <w:r w:rsidRPr="000A2F4D">
              <w:rPr>
                <w:rFonts w:ascii="Times New Roman" w:eastAsia="Times New Roman" w:hAnsi="Times New Roman" w:cs="Times New Roman"/>
                <w:b/>
                <w:color w:val="000000" w:themeColor="text1"/>
                <w:lang w:val="ro-MD"/>
              </w:rPr>
              <w:t>naţional</w:t>
            </w:r>
            <w:proofErr w:type="spellEnd"/>
          </w:p>
        </w:tc>
      </w:tr>
      <w:tr w:rsidR="00C25E6D" w:rsidRPr="00F650AB" w14:paraId="7A465777"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6DF26" w14:textId="2B0C16A2" w:rsidR="00C25E6D" w:rsidRPr="003117B3" w:rsidRDefault="00C25E6D" w:rsidP="00E30760">
            <w:pPr>
              <w:tabs>
                <w:tab w:val="left" w:pos="5088"/>
              </w:tabs>
              <w:spacing w:after="0" w:line="276" w:lineRule="auto"/>
              <w:jc w:val="both"/>
              <w:rPr>
                <w:rFonts w:ascii="Times New Roman" w:hAnsi="Times New Roman" w:cs="Times New Roman"/>
                <w:color w:val="000000" w:themeColor="text1"/>
                <w:u w:val="single"/>
                <w:lang w:val="ro-MD"/>
              </w:rPr>
            </w:pPr>
            <w:r w:rsidRPr="00627361">
              <w:rPr>
                <w:rFonts w:ascii="Times New Roman" w:hAnsi="Times New Roman" w:cs="Times New Roman"/>
                <w:color w:val="000000" w:themeColor="text1"/>
                <w:u w:val="single"/>
                <w:lang w:val="ro-MD"/>
              </w:rPr>
              <w:t>Regulamentul privind cerinț</w:t>
            </w:r>
            <w:r w:rsidR="00E30DB4">
              <w:rPr>
                <w:rFonts w:ascii="Times New Roman" w:hAnsi="Times New Roman" w:cs="Times New Roman"/>
                <w:color w:val="000000" w:themeColor="text1"/>
                <w:u w:val="single"/>
                <w:lang w:val="ro-MD"/>
              </w:rPr>
              <w:t>e</w:t>
            </w:r>
            <w:r w:rsidRPr="00627361">
              <w:rPr>
                <w:rFonts w:ascii="Times New Roman" w:hAnsi="Times New Roman" w:cs="Times New Roman"/>
                <w:color w:val="000000" w:themeColor="text1"/>
                <w:u w:val="single"/>
                <w:lang w:val="ro-MD"/>
              </w:rPr>
              <w:t xml:space="preserve"> de fonduri proprii pentru riscul </w:t>
            </w:r>
            <w:r>
              <w:rPr>
                <w:rFonts w:ascii="Times New Roman" w:hAnsi="Times New Roman" w:cs="Times New Roman"/>
                <w:color w:val="000000" w:themeColor="text1"/>
                <w:u w:val="single"/>
                <w:lang w:val="ro-MD"/>
              </w:rPr>
              <w:t xml:space="preserve">de </w:t>
            </w:r>
            <w:r>
              <w:rPr>
                <w:rFonts w:ascii="Times New Roman" w:hAnsi="Times New Roman" w:cs="Times New Roman"/>
                <w:color w:val="000000" w:themeColor="text1"/>
                <w:u w:val="single"/>
                <w:lang w:val="ro-RO"/>
              </w:rPr>
              <w:t>piață</w:t>
            </w:r>
            <w:r w:rsidRPr="00B8056D">
              <w:rPr>
                <w:rFonts w:ascii="Times New Roman" w:hAnsi="Times New Roman" w:cs="Times New Roman"/>
                <w:color w:val="000000" w:themeColor="text1"/>
                <w:u w:val="single"/>
                <w:lang w:val="ro-MD"/>
              </w:rPr>
              <w:t>, aprobat prin Hotărârea Comitetului executiv</w:t>
            </w:r>
            <w:r>
              <w:rPr>
                <w:rFonts w:ascii="Times New Roman" w:hAnsi="Times New Roman" w:cs="Times New Roman"/>
                <w:color w:val="000000" w:themeColor="text1"/>
                <w:u w:val="single"/>
                <w:lang w:val="ro-MD"/>
              </w:rPr>
              <w:t xml:space="preserve"> </w:t>
            </w:r>
            <w:r w:rsidRPr="00B8056D">
              <w:rPr>
                <w:rFonts w:ascii="Times New Roman" w:hAnsi="Times New Roman" w:cs="Times New Roman"/>
                <w:color w:val="000000" w:themeColor="text1"/>
                <w:u w:val="single"/>
                <w:lang w:val="ro-MD"/>
              </w:rPr>
              <w:t xml:space="preserve">al Băncii Naționale a Moldovei </w:t>
            </w:r>
            <w:proofErr w:type="spellStart"/>
            <w:r w:rsidRPr="00B8056D">
              <w:rPr>
                <w:rFonts w:ascii="Times New Roman" w:hAnsi="Times New Roman" w:cs="Times New Roman"/>
                <w:color w:val="000000" w:themeColor="text1"/>
                <w:u w:val="single"/>
                <w:lang w:val="ro-MD"/>
              </w:rPr>
              <w:t>nr.XX</w:t>
            </w:r>
            <w:proofErr w:type="spellEnd"/>
            <w:r w:rsidRPr="00B8056D">
              <w:rPr>
                <w:rFonts w:ascii="Times New Roman" w:hAnsi="Times New Roman" w:cs="Times New Roman"/>
                <w:color w:val="000000" w:themeColor="text1"/>
                <w:u w:val="single"/>
                <w:lang w:val="ro-MD"/>
              </w:rPr>
              <w:t xml:space="preserve"> din XX.XX.202</w:t>
            </w:r>
            <w:r>
              <w:rPr>
                <w:rFonts w:ascii="Times New Roman" w:hAnsi="Times New Roman" w:cs="Times New Roman"/>
                <w:color w:val="000000" w:themeColor="text1"/>
                <w:u w:val="single"/>
                <w:lang w:val="ro-MD"/>
              </w:rPr>
              <w:t>5</w:t>
            </w:r>
          </w:p>
          <w:p w14:paraId="60CB81FB" w14:textId="77777777" w:rsidR="00C25E6D" w:rsidRPr="003117B3" w:rsidRDefault="00C25E6D" w:rsidP="00E30760">
            <w:pPr>
              <w:tabs>
                <w:tab w:val="left" w:pos="5088"/>
              </w:tabs>
              <w:spacing w:after="0" w:line="276" w:lineRule="auto"/>
              <w:jc w:val="both"/>
              <w:rPr>
                <w:rFonts w:ascii="Times New Roman" w:hAnsi="Times New Roman" w:cs="Times New Roman"/>
                <w:color w:val="000000" w:themeColor="text1"/>
                <w:lang w:val="ro-MD"/>
              </w:rPr>
            </w:pPr>
          </w:p>
        </w:tc>
      </w:tr>
      <w:tr w:rsidR="00C25E6D" w:rsidRPr="00D14BD5" w14:paraId="6235FA8E"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675E6" w14:textId="465FA6A2" w:rsidR="00C25E6D" w:rsidRPr="003117B3" w:rsidRDefault="00C25E6D" w:rsidP="00E30760">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3. Gradul general de compatibilitate</w:t>
            </w:r>
            <w:r w:rsidR="00D14BD5">
              <w:rPr>
                <w:rFonts w:ascii="Times New Roman" w:eastAsia="Times New Roman" w:hAnsi="Times New Roman" w:cs="Times New Roman"/>
                <w:b/>
                <w:color w:val="000000" w:themeColor="text1"/>
                <w:lang w:val="ro-MD"/>
              </w:rPr>
              <w:t xml:space="preserve"> </w:t>
            </w:r>
            <w:r w:rsidRPr="003117B3">
              <w:rPr>
                <w:rFonts w:ascii="Times New Roman" w:eastAsia="Times New Roman" w:hAnsi="Times New Roman" w:cs="Times New Roman"/>
                <w:color w:val="000000" w:themeColor="text1"/>
                <w:lang w:val="ro-MD"/>
              </w:rPr>
              <w:t xml:space="preserve">– </w:t>
            </w:r>
            <w:r w:rsidR="00D14BD5">
              <w:rPr>
                <w:rFonts w:ascii="Times New Roman" w:eastAsia="Times New Roman" w:hAnsi="Times New Roman" w:cs="Times New Roman"/>
                <w:color w:val="000000" w:themeColor="text1"/>
                <w:lang w:val="ro-MD"/>
              </w:rPr>
              <w:t>compatibil</w:t>
            </w:r>
          </w:p>
        </w:tc>
      </w:tr>
      <w:tr w:rsidR="00C25E6D" w:rsidRPr="00F650AB" w14:paraId="0436E472"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9F91E" w14:textId="137C01C2" w:rsidR="00C25E6D" w:rsidRPr="00F650AB" w:rsidRDefault="00C25E6D" w:rsidP="00E30760">
            <w:pPr>
              <w:spacing w:after="0" w:line="276" w:lineRule="auto"/>
              <w:jc w:val="both"/>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 xml:space="preserve">4. </w:t>
            </w:r>
            <w:r w:rsidRPr="000A2F4D">
              <w:rPr>
                <w:rFonts w:ascii="Times New Roman" w:eastAsia="Times New Roman" w:hAnsi="Times New Roman" w:cs="Times New Roman"/>
                <w:b/>
                <w:color w:val="000000" w:themeColor="text1"/>
                <w:lang w:val="ro-MD"/>
              </w:rPr>
              <w:t>Autoritatea/persoana responsabilă</w:t>
            </w:r>
            <w:r w:rsidR="00F650AB">
              <w:rPr>
                <w:rFonts w:ascii="Times New Roman" w:eastAsia="Times New Roman" w:hAnsi="Times New Roman" w:cs="Times New Roman"/>
                <w:b/>
                <w:color w:val="000000" w:themeColor="text1"/>
                <w:lang w:val="ro-MD"/>
              </w:rPr>
              <w:t xml:space="preserve"> – </w:t>
            </w:r>
            <w:r w:rsidR="00F650AB" w:rsidRPr="00F650AB">
              <w:rPr>
                <w:rFonts w:ascii="Times New Roman" w:eastAsia="Times New Roman" w:hAnsi="Times New Roman" w:cs="Times New Roman"/>
                <w:bCs/>
                <w:color w:val="000000" w:themeColor="text1"/>
                <w:lang w:val="ro-MD"/>
              </w:rPr>
              <w:t>Banca Națională a Moldovei</w:t>
            </w:r>
          </w:p>
        </w:tc>
      </w:tr>
      <w:tr w:rsidR="00C25E6D" w:rsidRPr="000A2F4D" w14:paraId="511AF423"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69625" w14:textId="14F84E65" w:rsidR="00C25E6D" w:rsidRPr="00F650AB" w:rsidRDefault="00C25E6D" w:rsidP="00E30760">
            <w:pPr>
              <w:spacing w:after="0" w:line="276" w:lineRule="auto"/>
              <w:jc w:val="both"/>
              <w:rPr>
                <w:rFonts w:ascii="Times New Roman" w:eastAsia="Times New Roman" w:hAnsi="Times New Roman" w:cs="Times New Roman"/>
                <w:bCs/>
                <w:color w:val="000000" w:themeColor="text1"/>
                <w:lang w:val="ro-MD"/>
              </w:rPr>
            </w:pPr>
            <w:r>
              <w:rPr>
                <w:rFonts w:ascii="Times New Roman" w:eastAsia="Times New Roman" w:hAnsi="Times New Roman" w:cs="Times New Roman"/>
                <w:b/>
                <w:color w:val="000000" w:themeColor="text1"/>
                <w:lang w:val="ro-MD"/>
              </w:rPr>
              <w:t xml:space="preserve">5. </w:t>
            </w:r>
            <w:r w:rsidRPr="000A2F4D">
              <w:rPr>
                <w:rFonts w:ascii="Times New Roman" w:eastAsia="Times New Roman" w:hAnsi="Times New Roman" w:cs="Times New Roman"/>
                <w:b/>
                <w:color w:val="000000" w:themeColor="text1"/>
                <w:lang w:val="ro-MD"/>
              </w:rPr>
              <w:t>Data întocmirii/actualizării</w:t>
            </w:r>
            <w:r w:rsidR="00F650AB">
              <w:rPr>
                <w:rFonts w:ascii="Times New Roman" w:eastAsia="Times New Roman" w:hAnsi="Times New Roman" w:cs="Times New Roman"/>
                <w:b/>
                <w:color w:val="000000" w:themeColor="text1"/>
                <w:lang w:val="ro-MD"/>
              </w:rPr>
              <w:t xml:space="preserve"> – </w:t>
            </w:r>
            <w:r w:rsidR="00F650AB">
              <w:rPr>
                <w:rFonts w:ascii="Times New Roman" w:eastAsia="Times New Roman" w:hAnsi="Times New Roman" w:cs="Times New Roman"/>
                <w:bCs/>
                <w:color w:val="000000" w:themeColor="text1"/>
                <w:lang w:val="ro-MD"/>
              </w:rPr>
              <w:t>19.06.2026</w:t>
            </w:r>
          </w:p>
        </w:tc>
      </w:tr>
    </w:tbl>
    <w:p w14:paraId="1214D5BC" w14:textId="77777777" w:rsidR="00C25E6D" w:rsidRPr="003117B3" w:rsidRDefault="00C25E6D" w:rsidP="00C25E6D">
      <w:pPr>
        <w:spacing w:line="276" w:lineRule="auto"/>
        <w:jc w:val="both"/>
        <w:rPr>
          <w:rFonts w:ascii="Times New Roman" w:hAnsi="Times New Roman" w:cs="Times New Roman"/>
          <w:color w:val="000000" w:themeColor="text1"/>
          <w:lang w:val="ro-MD"/>
        </w:rPr>
      </w:pPr>
    </w:p>
    <w:tbl>
      <w:tblPr>
        <w:tblW w:w="5406" w:type="pct"/>
        <w:tblInd w:w="-579" w:type="dxa"/>
        <w:tblLayout w:type="fixed"/>
        <w:tblLook w:val="01E0" w:firstRow="1" w:lastRow="1" w:firstColumn="1" w:lastColumn="1" w:noHBand="0" w:noVBand="0"/>
      </w:tblPr>
      <w:tblGrid>
        <w:gridCol w:w="5028"/>
        <w:gridCol w:w="5327"/>
        <w:gridCol w:w="1417"/>
        <w:gridCol w:w="3970"/>
      </w:tblGrid>
      <w:tr w:rsidR="00C25E6D" w:rsidRPr="003117B3" w14:paraId="720F0602" w14:textId="77777777" w:rsidTr="00E30760">
        <w:trPr>
          <w:tblHeader/>
        </w:trPr>
        <w:tc>
          <w:tcPr>
            <w:tcW w:w="1597" w:type="pct"/>
            <w:tcBorders>
              <w:top w:val="single" w:sz="4" w:space="0" w:color="auto"/>
              <w:left w:val="single" w:sz="4" w:space="0" w:color="auto"/>
              <w:bottom w:val="single" w:sz="4" w:space="0" w:color="auto"/>
              <w:right w:val="single" w:sz="4" w:space="0" w:color="auto"/>
            </w:tcBorders>
            <w:vAlign w:val="center"/>
          </w:tcPr>
          <w:p w14:paraId="445839CE" w14:textId="77777777" w:rsidR="00C25E6D" w:rsidRPr="003117B3" w:rsidRDefault="00C25E6D" w:rsidP="00E30760">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Uniunii Europene</w:t>
            </w:r>
          </w:p>
        </w:tc>
        <w:tc>
          <w:tcPr>
            <w:tcW w:w="1692" w:type="pct"/>
            <w:tcBorders>
              <w:top w:val="single" w:sz="4" w:space="0" w:color="auto"/>
              <w:left w:val="single" w:sz="4" w:space="0" w:color="auto"/>
              <w:bottom w:val="single" w:sz="4" w:space="0" w:color="auto"/>
              <w:right w:val="single" w:sz="4" w:space="0" w:color="auto"/>
            </w:tcBorders>
            <w:vAlign w:val="center"/>
          </w:tcPr>
          <w:p w14:paraId="07AE69A2" w14:textId="77777777" w:rsidR="00C25E6D" w:rsidRPr="000A2F4D" w:rsidRDefault="00C25E6D" w:rsidP="00E30760">
            <w:pPr>
              <w:spacing w:line="276" w:lineRule="auto"/>
              <w:jc w:val="center"/>
              <w:rPr>
                <w:rFonts w:ascii="Times New Roman" w:eastAsia="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Proiectul de act </w:t>
            </w:r>
          </w:p>
          <w:p w14:paraId="49171E81" w14:textId="77777777" w:rsidR="00C25E6D" w:rsidRPr="003117B3" w:rsidRDefault="00C25E6D" w:rsidP="00E30760">
            <w:pPr>
              <w:spacing w:line="276" w:lineRule="auto"/>
              <w:jc w:val="center"/>
              <w:rPr>
                <w:rFonts w:ascii="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normativ </w:t>
            </w:r>
            <w:proofErr w:type="spellStart"/>
            <w:r w:rsidRPr="000A2F4D">
              <w:rPr>
                <w:rFonts w:ascii="Times New Roman" w:eastAsia="Times New Roman" w:hAnsi="Times New Roman" w:cs="Times New Roman"/>
                <w:b/>
                <w:color w:val="000000" w:themeColor="text1"/>
                <w:lang w:val="ro-MD"/>
              </w:rPr>
              <w:t>naţional</w:t>
            </w:r>
            <w:proofErr w:type="spellEnd"/>
          </w:p>
        </w:tc>
        <w:tc>
          <w:tcPr>
            <w:tcW w:w="450" w:type="pct"/>
            <w:tcBorders>
              <w:top w:val="single" w:sz="4" w:space="0" w:color="auto"/>
              <w:left w:val="single" w:sz="4" w:space="0" w:color="auto"/>
              <w:bottom w:val="single" w:sz="4" w:space="0" w:color="auto"/>
              <w:right w:val="single" w:sz="4" w:space="0" w:color="auto"/>
            </w:tcBorders>
            <w:vAlign w:val="center"/>
          </w:tcPr>
          <w:p w14:paraId="16FA0C9D"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Gradul de compatibilitate</w:t>
            </w:r>
          </w:p>
        </w:tc>
        <w:tc>
          <w:tcPr>
            <w:tcW w:w="1261" w:type="pct"/>
            <w:tcBorders>
              <w:top w:val="single" w:sz="4" w:space="0" w:color="auto"/>
              <w:left w:val="single" w:sz="4" w:space="0" w:color="auto"/>
              <w:bottom w:val="single" w:sz="4" w:space="0" w:color="auto"/>
              <w:right w:val="single" w:sz="4" w:space="0" w:color="auto"/>
            </w:tcBorders>
            <w:vAlign w:val="center"/>
          </w:tcPr>
          <w:p w14:paraId="11C29D08" w14:textId="77777777" w:rsidR="00C25E6D" w:rsidRPr="003117B3" w:rsidRDefault="00C25E6D" w:rsidP="00E30760">
            <w:pPr>
              <w:spacing w:line="276" w:lineRule="auto"/>
              <w:rPr>
                <w:rFonts w:ascii="Times New Roman" w:hAnsi="Times New Roman" w:cs="Times New Roman"/>
                <w:color w:val="000000" w:themeColor="text1"/>
                <w:lang w:val="ro-MD"/>
              </w:rPr>
            </w:pPr>
            <w:r w:rsidRPr="003117B3">
              <w:rPr>
                <w:rFonts w:ascii="Times New Roman" w:eastAsia="Times New Roman" w:hAnsi="Times New Roman" w:cs="Times New Roman"/>
                <w:b/>
                <w:color w:val="000000" w:themeColor="text1"/>
                <w:lang w:val="ro-MD"/>
              </w:rPr>
              <w:t xml:space="preserve"> Observații</w:t>
            </w:r>
          </w:p>
        </w:tc>
      </w:tr>
      <w:tr w:rsidR="00C25E6D" w:rsidRPr="003117B3" w14:paraId="6C3A7879" w14:textId="77777777" w:rsidTr="00E30760">
        <w:trPr>
          <w:trHeight w:val="253"/>
          <w:tblHeader/>
        </w:trPr>
        <w:tc>
          <w:tcPr>
            <w:tcW w:w="1597" w:type="pct"/>
            <w:tcBorders>
              <w:top w:val="single" w:sz="4" w:space="0" w:color="auto"/>
              <w:left w:val="single" w:sz="4" w:space="0" w:color="auto"/>
              <w:bottom w:val="single" w:sz="4" w:space="0" w:color="auto"/>
              <w:right w:val="single" w:sz="4" w:space="0" w:color="auto"/>
            </w:tcBorders>
            <w:vAlign w:val="center"/>
          </w:tcPr>
          <w:p w14:paraId="45666D38"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6</w:t>
            </w:r>
          </w:p>
        </w:tc>
        <w:tc>
          <w:tcPr>
            <w:tcW w:w="1692" w:type="pct"/>
            <w:tcBorders>
              <w:top w:val="single" w:sz="4" w:space="0" w:color="auto"/>
              <w:left w:val="single" w:sz="4" w:space="0" w:color="auto"/>
              <w:bottom w:val="single" w:sz="4" w:space="0" w:color="auto"/>
              <w:right w:val="single" w:sz="4" w:space="0" w:color="auto"/>
            </w:tcBorders>
            <w:vAlign w:val="center"/>
          </w:tcPr>
          <w:p w14:paraId="0578C5CE"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7</w:t>
            </w:r>
          </w:p>
        </w:tc>
        <w:tc>
          <w:tcPr>
            <w:tcW w:w="450" w:type="pct"/>
            <w:tcBorders>
              <w:top w:val="single" w:sz="4" w:space="0" w:color="auto"/>
              <w:left w:val="single" w:sz="4" w:space="0" w:color="auto"/>
              <w:bottom w:val="single" w:sz="4" w:space="0" w:color="auto"/>
              <w:right w:val="single" w:sz="4" w:space="0" w:color="auto"/>
            </w:tcBorders>
            <w:vAlign w:val="center"/>
          </w:tcPr>
          <w:p w14:paraId="054915C1"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8</w:t>
            </w:r>
          </w:p>
        </w:tc>
        <w:tc>
          <w:tcPr>
            <w:tcW w:w="1261" w:type="pct"/>
            <w:tcBorders>
              <w:top w:val="single" w:sz="4" w:space="0" w:color="auto"/>
              <w:left w:val="single" w:sz="4" w:space="0" w:color="auto"/>
              <w:bottom w:val="single" w:sz="4" w:space="0" w:color="auto"/>
              <w:right w:val="single" w:sz="4" w:space="0" w:color="auto"/>
            </w:tcBorders>
            <w:vAlign w:val="center"/>
          </w:tcPr>
          <w:p w14:paraId="5FD43D24"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9</w:t>
            </w:r>
          </w:p>
        </w:tc>
      </w:tr>
      <w:tr w:rsidR="00C25E6D" w:rsidRPr="004069E3" w14:paraId="3A97D7B3"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A2CB777" w14:textId="1AD74C61" w:rsidR="00C25E6D" w:rsidRPr="00AE4172" w:rsidRDefault="00AE4172" w:rsidP="006315B0">
            <w:pPr>
              <w:spacing w:line="276" w:lineRule="auto"/>
              <w:jc w:val="both"/>
              <w:rPr>
                <w:rFonts w:ascii="Times New Roman" w:hAnsi="Times New Roman" w:cs="Times New Roman"/>
                <w:b/>
                <w:color w:val="000000" w:themeColor="text1"/>
                <w:lang w:val="ro-MD"/>
              </w:rPr>
            </w:pPr>
            <w:r w:rsidRPr="00AE4172">
              <w:rPr>
                <w:rFonts w:ascii="Times New Roman" w:hAnsi="Times New Roman" w:cs="Times New Roman"/>
                <w:b/>
                <w:bCs/>
                <w:color w:val="000000" w:themeColor="text1"/>
                <w:lang w:val="ro-MD"/>
              </w:rPr>
              <w:t>REGULAMENTUL DELEGAT (UE) NR. 528/2014 AL COMISIEI din 12 martie 2014 de completare a Regulamentului (UE) nr. 575/2013 al Parlamentului European și al Consiliului în ceea ce privește standardele tehnice de reglementare pentru alte riscuri decât riscul delta ale opțiunilor în cadrul abordării standardizate a riscului de piață, modificat prin Regulamentul delegat (UE) 2016/861 al Comisiei din 18 februarie 2016</w:t>
            </w:r>
          </w:p>
        </w:tc>
        <w:tc>
          <w:tcPr>
            <w:tcW w:w="1692" w:type="pct"/>
          </w:tcPr>
          <w:p w14:paraId="595841CA" w14:textId="02F04129" w:rsidR="004069E3" w:rsidRPr="00A2336E" w:rsidRDefault="004069E3" w:rsidP="004069E3">
            <w:pPr>
              <w:spacing w:line="276" w:lineRule="auto"/>
              <w:jc w:val="both"/>
              <w:rPr>
                <w:rFonts w:ascii="Times New Roman" w:hAnsi="Times New Roman" w:cs="Times New Roman"/>
                <w:bCs/>
                <w:color w:val="000000" w:themeColor="text1"/>
                <w:lang w:val="ro-MD"/>
              </w:rPr>
            </w:pPr>
            <w:bookmarkStart w:id="1" w:name="_Hlk188368218"/>
            <w:r w:rsidRPr="00A2336E">
              <w:rPr>
                <w:rFonts w:ascii="Times New Roman" w:hAnsi="Times New Roman" w:cs="Times New Roman"/>
                <w:bCs/>
                <w:color w:val="000000" w:themeColor="text1"/>
                <w:lang w:val="ro-MD"/>
              </w:rPr>
              <w:t>Anexa nr.</w:t>
            </w:r>
            <w:r>
              <w:rPr>
                <w:rFonts w:ascii="Times New Roman" w:hAnsi="Times New Roman" w:cs="Times New Roman"/>
                <w:bCs/>
                <w:color w:val="000000" w:themeColor="text1"/>
                <w:lang w:val="ro-MD"/>
              </w:rPr>
              <w:t>5</w:t>
            </w:r>
            <w:r w:rsidRPr="00A2336E">
              <w:rPr>
                <w:rFonts w:ascii="Times New Roman" w:hAnsi="Times New Roman" w:cs="Times New Roman"/>
                <w:bCs/>
                <w:color w:val="000000" w:themeColor="text1"/>
                <w:lang w:val="ro-MD"/>
              </w:rPr>
              <w:t xml:space="preserve"> la Regulamentul privind </w:t>
            </w:r>
            <w:bookmarkStart w:id="2" w:name="_Hlk192851899"/>
            <w:r w:rsidRPr="00A2336E">
              <w:rPr>
                <w:rFonts w:ascii="Times New Roman" w:hAnsi="Times New Roman" w:cs="Times New Roman"/>
                <w:bCs/>
                <w:color w:val="000000" w:themeColor="text1"/>
                <w:lang w:val="ro-MD"/>
              </w:rPr>
              <w:t xml:space="preserve">cerințe de fonduri proprii pentru riscul </w:t>
            </w:r>
            <w:bookmarkEnd w:id="1"/>
            <w:bookmarkEnd w:id="2"/>
            <w:r w:rsidRPr="00A2336E">
              <w:rPr>
                <w:rFonts w:ascii="Times New Roman" w:hAnsi="Times New Roman" w:cs="Times New Roman"/>
                <w:bCs/>
                <w:color w:val="000000" w:themeColor="text1"/>
                <w:lang w:val="ro-MD"/>
              </w:rPr>
              <w:t xml:space="preserve">de </w:t>
            </w:r>
            <w:r w:rsidRPr="00A2336E">
              <w:rPr>
                <w:rFonts w:ascii="Times New Roman" w:hAnsi="Times New Roman" w:cs="Times New Roman"/>
                <w:bCs/>
                <w:color w:val="000000" w:themeColor="text1"/>
                <w:lang w:val="ro-RO"/>
              </w:rPr>
              <w:t>piață</w:t>
            </w:r>
            <w:r w:rsidRPr="00A2336E">
              <w:rPr>
                <w:rFonts w:ascii="Times New Roman" w:hAnsi="Times New Roman" w:cs="Times New Roman"/>
                <w:bCs/>
                <w:color w:val="000000" w:themeColor="text1"/>
                <w:lang w:val="ro-MD"/>
              </w:rPr>
              <w:t xml:space="preserve">, aprobat prin Hotărârea Comitetului executiv al Băncii Naționale a Moldovei  </w:t>
            </w:r>
            <w:proofErr w:type="spellStart"/>
            <w:r w:rsidRPr="00A2336E">
              <w:rPr>
                <w:rFonts w:ascii="Times New Roman" w:hAnsi="Times New Roman" w:cs="Times New Roman"/>
                <w:bCs/>
                <w:color w:val="000000" w:themeColor="text1"/>
                <w:lang w:val="ro-MD"/>
              </w:rPr>
              <w:t>nr.XX</w:t>
            </w:r>
            <w:proofErr w:type="spellEnd"/>
            <w:r w:rsidRPr="00A2336E">
              <w:rPr>
                <w:rFonts w:ascii="Times New Roman" w:hAnsi="Times New Roman" w:cs="Times New Roman"/>
                <w:bCs/>
                <w:color w:val="000000" w:themeColor="text1"/>
                <w:lang w:val="ro-MD"/>
              </w:rPr>
              <w:t>/2025</w:t>
            </w:r>
          </w:p>
          <w:p w14:paraId="1815F7E0" w14:textId="79C107FB" w:rsidR="00C25E6D" w:rsidRPr="00C25E6D" w:rsidRDefault="004069E3" w:rsidP="004069E3">
            <w:pPr>
              <w:spacing w:line="276" w:lineRule="auto"/>
              <w:jc w:val="both"/>
              <w:rPr>
                <w:rFonts w:ascii="Times New Roman" w:hAnsi="Times New Roman" w:cs="Times New Roman"/>
                <w:b/>
                <w:color w:val="000000" w:themeColor="text1"/>
                <w:lang w:val="ro-MD"/>
              </w:rPr>
            </w:pPr>
            <w:bookmarkStart w:id="3" w:name="_Hlk224653533"/>
            <w:r w:rsidRPr="004069E3">
              <w:rPr>
                <w:rFonts w:ascii="Times New Roman" w:hAnsi="Times New Roman" w:cs="Times New Roman"/>
                <w:b/>
                <w:color w:val="000000" w:themeColor="text1"/>
                <w:lang w:val="ro-MD"/>
              </w:rPr>
              <w:t>METODE</w:t>
            </w:r>
            <w:r>
              <w:rPr>
                <w:rFonts w:ascii="Times New Roman" w:hAnsi="Times New Roman" w:cs="Times New Roman"/>
                <w:b/>
                <w:color w:val="000000" w:themeColor="text1"/>
                <w:lang w:val="ro-MD"/>
              </w:rPr>
              <w:t xml:space="preserve"> </w:t>
            </w:r>
            <w:r w:rsidRPr="004069E3">
              <w:rPr>
                <w:rFonts w:ascii="Times New Roman" w:hAnsi="Times New Roman" w:cs="Times New Roman"/>
                <w:b/>
                <w:color w:val="000000" w:themeColor="text1"/>
                <w:lang w:val="ro-MD"/>
              </w:rPr>
              <w:t>pentru reflectarea altor riscuri decât riscul delta</w:t>
            </w:r>
            <w:r>
              <w:rPr>
                <w:rFonts w:ascii="Times New Roman" w:hAnsi="Times New Roman" w:cs="Times New Roman"/>
                <w:b/>
                <w:color w:val="000000" w:themeColor="text1"/>
                <w:lang w:val="ro-MD"/>
              </w:rPr>
              <w:t xml:space="preserve"> </w:t>
            </w:r>
            <w:r w:rsidRPr="004069E3">
              <w:rPr>
                <w:rFonts w:ascii="Times New Roman" w:hAnsi="Times New Roman" w:cs="Times New Roman"/>
                <w:b/>
                <w:color w:val="000000" w:themeColor="text1"/>
                <w:lang w:val="ro-MD"/>
              </w:rPr>
              <w:t xml:space="preserve">în </w:t>
            </w:r>
            <w:proofErr w:type="spellStart"/>
            <w:r w:rsidRPr="004069E3">
              <w:rPr>
                <w:rFonts w:ascii="Times New Roman" w:hAnsi="Times New Roman" w:cs="Times New Roman"/>
                <w:b/>
                <w:color w:val="000000" w:themeColor="text1"/>
                <w:lang w:val="ro-MD"/>
              </w:rPr>
              <w:t>cerinţele</w:t>
            </w:r>
            <w:proofErr w:type="spellEnd"/>
            <w:r w:rsidRPr="004069E3">
              <w:rPr>
                <w:rFonts w:ascii="Times New Roman" w:hAnsi="Times New Roman" w:cs="Times New Roman"/>
                <w:b/>
                <w:color w:val="000000" w:themeColor="text1"/>
                <w:lang w:val="ro-MD"/>
              </w:rPr>
              <w:t xml:space="preserve"> de fonduri proprii ale băncilor</w:t>
            </w:r>
            <w:bookmarkEnd w:id="3"/>
          </w:p>
        </w:tc>
        <w:tc>
          <w:tcPr>
            <w:tcW w:w="450" w:type="pct"/>
          </w:tcPr>
          <w:p w14:paraId="1DD308FF" w14:textId="77777777" w:rsidR="00C25E6D" w:rsidRPr="00C25E6D" w:rsidRDefault="00C25E6D" w:rsidP="00E30760">
            <w:pPr>
              <w:spacing w:line="276" w:lineRule="auto"/>
              <w:rPr>
                <w:rFonts w:ascii="Times New Roman" w:hAnsi="Times New Roman" w:cs="Times New Roman"/>
                <w:color w:val="000000" w:themeColor="text1"/>
                <w:lang w:val="ro-MD"/>
              </w:rPr>
            </w:pPr>
          </w:p>
        </w:tc>
        <w:tc>
          <w:tcPr>
            <w:tcW w:w="1261" w:type="pct"/>
          </w:tcPr>
          <w:p w14:paraId="440CD017" w14:textId="77777777" w:rsidR="00C25E6D" w:rsidRPr="00C25E6D" w:rsidRDefault="00C25E6D" w:rsidP="00E30760">
            <w:pPr>
              <w:spacing w:line="276" w:lineRule="auto"/>
              <w:rPr>
                <w:rFonts w:ascii="Times New Roman" w:hAnsi="Times New Roman" w:cs="Times New Roman"/>
                <w:color w:val="000000" w:themeColor="text1"/>
                <w:lang w:val="ro-MD"/>
              </w:rPr>
            </w:pPr>
          </w:p>
        </w:tc>
      </w:tr>
      <w:tr w:rsidR="006315B0" w:rsidRPr="00F650AB" w14:paraId="2EC6D7A9"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5B6A6D6" w14:textId="1B9177BE" w:rsidR="006315B0" w:rsidRPr="006315B0" w:rsidRDefault="006315B0" w:rsidP="00533B5F">
            <w:pPr>
              <w:spacing w:after="0" w:line="240" w:lineRule="auto"/>
              <w:jc w:val="both"/>
              <w:rPr>
                <w:rFonts w:ascii="Times New Roman" w:hAnsi="Times New Roman" w:cs="Times New Roman"/>
                <w:color w:val="000000" w:themeColor="text1"/>
                <w:lang w:val="ro-MD"/>
              </w:rPr>
            </w:pPr>
            <w:r w:rsidRPr="003C3665">
              <w:rPr>
                <w:rFonts w:ascii="Times New Roman" w:hAnsi="Times New Roman" w:cs="Times New Roman"/>
                <w:i/>
                <w:iCs/>
                <w:color w:val="000000" w:themeColor="text1"/>
                <w:lang w:val="ro-MD"/>
              </w:rPr>
              <w:lastRenderedPageBreak/>
              <w:t>Articolul 1</w:t>
            </w:r>
            <w:r>
              <w:rPr>
                <w:rFonts w:ascii="Times New Roman" w:hAnsi="Times New Roman" w:cs="Times New Roman"/>
                <w:color w:val="000000" w:themeColor="text1"/>
                <w:lang w:val="ro-MD"/>
              </w:rPr>
              <w:t xml:space="preserve"> </w:t>
            </w:r>
            <w:r w:rsidRPr="006315B0">
              <w:rPr>
                <w:rFonts w:ascii="Times New Roman" w:hAnsi="Times New Roman" w:cs="Times New Roman"/>
                <w:b/>
                <w:bCs/>
                <w:color w:val="000000" w:themeColor="text1"/>
                <w:lang w:val="ro-MD"/>
              </w:rPr>
              <w:t>Determinarea cerințelor de fonduri proprii pentru alt risc decât</w:t>
            </w:r>
            <w:r>
              <w:rPr>
                <w:rFonts w:ascii="Times New Roman" w:hAnsi="Times New Roman" w:cs="Times New Roman"/>
                <w:b/>
                <w:bCs/>
                <w:color w:val="000000" w:themeColor="text1"/>
                <w:lang w:val="ro-MD"/>
              </w:rPr>
              <w:t xml:space="preserve"> </w:t>
            </w:r>
            <w:r w:rsidRPr="006315B0">
              <w:rPr>
                <w:rFonts w:ascii="Times New Roman" w:hAnsi="Times New Roman" w:cs="Times New Roman"/>
                <w:b/>
                <w:bCs/>
                <w:color w:val="000000" w:themeColor="text1"/>
                <w:lang w:val="ro-MD"/>
              </w:rPr>
              <w:t xml:space="preserve">riscul delta al opțiunilor și al </w:t>
            </w:r>
            <w:proofErr w:type="spellStart"/>
            <w:r w:rsidRPr="006315B0">
              <w:rPr>
                <w:rFonts w:ascii="Times New Roman" w:hAnsi="Times New Roman" w:cs="Times New Roman"/>
                <w:b/>
                <w:bCs/>
                <w:color w:val="000000" w:themeColor="text1"/>
                <w:lang w:val="ro-MD"/>
              </w:rPr>
              <w:t>warranturilor</w:t>
            </w:r>
            <w:proofErr w:type="spellEnd"/>
          </w:p>
        </w:tc>
        <w:tc>
          <w:tcPr>
            <w:tcW w:w="1692" w:type="pct"/>
          </w:tcPr>
          <w:p w14:paraId="4B2B17A3" w14:textId="79FA5BF5" w:rsidR="006315B0" w:rsidRPr="00C25E6D" w:rsidRDefault="004069E3" w:rsidP="00533B5F">
            <w:pPr>
              <w:spacing w:line="240" w:lineRule="auto"/>
              <w:jc w:val="both"/>
              <w:rPr>
                <w:rFonts w:ascii="Times New Roman" w:hAnsi="Times New Roman" w:cs="Times New Roman"/>
                <w:b/>
                <w:color w:val="000000" w:themeColor="text1"/>
                <w:lang w:val="ro-MD"/>
              </w:rPr>
            </w:pPr>
            <w:bookmarkStart w:id="4" w:name="_Hlk224657689"/>
            <w:r>
              <w:rPr>
                <w:rFonts w:ascii="Times New Roman" w:hAnsi="Times New Roman" w:cs="Times New Roman"/>
                <w:i/>
                <w:iCs/>
                <w:color w:val="000000" w:themeColor="text1"/>
                <w:lang w:val="ro-MD"/>
              </w:rPr>
              <w:t>Secțiunea</w:t>
            </w:r>
            <w:r w:rsidRPr="003C3665">
              <w:rPr>
                <w:rFonts w:ascii="Times New Roman" w:hAnsi="Times New Roman" w:cs="Times New Roman"/>
                <w:i/>
                <w:iCs/>
                <w:color w:val="000000" w:themeColor="text1"/>
                <w:lang w:val="ro-MD"/>
              </w:rPr>
              <w:t xml:space="preserve"> </w:t>
            </w:r>
            <w:r w:rsidR="00BF4082" w:rsidRPr="003C3665">
              <w:rPr>
                <w:rFonts w:ascii="Times New Roman" w:hAnsi="Times New Roman" w:cs="Times New Roman"/>
                <w:i/>
                <w:iCs/>
                <w:color w:val="000000" w:themeColor="text1"/>
                <w:lang w:val="ro-MD"/>
              </w:rPr>
              <w:t>1</w:t>
            </w:r>
            <w:r>
              <w:rPr>
                <w:rFonts w:ascii="Times New Roman" w:hAnsi="Times New Roman" w:cs="Times New Roman"/>
                <w:i/>
                <w:iCs/>
                <w:color w:val="000000" w:themeColor="text1"/>
                <w:lang w:val="ro-MD"/>
              </w:rPr>
              <w:t>.</w:t>
            </w:r>
            <w:r w:rsidR="00BF4082">
              <w:rPr>
                <w:rFonts w:ascii="Times New Roman" w:hAnsi="Times New Roman" w:cs="Times New Roman"/>
                <w:color w:val="000000" w:themeColor="text1"/>
                <w:lang w:val="ro-MD"/>
              </w:rPr>
              <w:t xml:space="preserve"> </w:t>
            </w:r>
            <w:r w:rsidR="00BF4082" w:rsidRPr="006315B0">
              <w:rPr>
                <w:rFonts w:ascii="Times New Roman" w:hAnsi="Times New Roman" w:cs="Times New Roman"/>
                <w:b/>
                <w:bCs/>
                <w:color w:val="000000" w:themeColor="text1"/>
                <w:lang w:val="ro-MD"/>
              </w:rPr>
              <w:t>Determinarea cerințelor de fonduri proprii pentru alt risc decât</w:t>
            </w:r>
            <w:r w:rsidR="00BF4082">
              <w:rPr>
                <w:rFonts w:ascii="Times New Roman" w:hAnsi="Times New Roman" w:cs="Times New Roman"/>
                <w:b/>
                <w:bCs/>
                <w:color w:val="000000" w:themeColor="text1"/>
                <w:lang w:val="ro-MD"/>
              </w:rPr>
              <w:t xml:space="preserve"> </w:t>
            </w:r>
            <w:r w:rsidR="00BF4082" w:rsidRPr="006315B0">
              <w:rPr>
                <w:rFonts w:ascii="Times New Roman" w:hAnsi="Times New Roman" w:cs="Times New Roman"/>
                <w:b/>
                <w:bCs/>
                <w:color w:val="000000" w:themeColor="text1"/>
                <w:lang w:val="ro-MD"/>
              </w:rPr>
              <w:t xml:space="preserve">riscul delta al opțiunilor și al </w:t>
            </w:r>
            <w:proofErr w:type="spellStart"/>
            <w:r w:rsidR="00BF4082" w:rsidRPr="006315B0">
              <w:rPr>
                <w:rFonts w:ascii="Times New Roman" w:hAnsi="Times New Roman" w:cs="Times New Roman"/>
                <w:b/>
                <w:bCs/>
                <w:color w:val="000000" w:themeColor="text1"/>
                <w:lang w:val="ro-MD"/>
              </w:rPr>
              <w:t>warranturilor</w:t>
            </w:r>
            <w:bookmarkEnd w:id="4"/>
            <w:proofErr w:type="spellEnd"/>
          </w:p>
        </w:tc>
        <w:tc>
          <w:tcPr>
            <w:tcW w:w="450" w:type="pct"/>
          </w:tcPr>
          <w:p w14:paraId="4F36B562"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00D96365"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4A3AC6" w:rsidRPr="004A3AC6" w14:paraId="6576BBCA" w14:textId="77777777" w:rsidTr="00654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8"/>
        </w:trPr>
        <w:tc>
          <w:tcPr>
            <w:tcW w:w="1597" w:type="pct"/>
          </w:tcPr>
          <w:p w14:paraId="1D45269C" w14:textId="77777777" w:rsidR="004A3AC6" w:rsidRPr="006315B0" w:rsidRDefault="004A3AC6"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(1) Instituțiile își calculează cerințele de fonduri proprii pentru riscul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piață în ceea ce privește alt risc decât riscul delta al opțiunilor sau al</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astfel cum se prevede la articolul 329 alineatul (3), la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articolul 352 alineatul (6) și la articolul 358 alineatul (4) din Regulamentul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(UE) nr. 575/2013, în conformitate cu una dintre următoarele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abordări:</w:t>
            </w:r>
          </w:p>
          <w:p w14:paraId="00E6E7C5" w14:textId="77777777" w:rsidR="004A3AC6" w:rsidRPr="006315B0" w:rsidRDefault="004A3AC6" w:rsidP="003C3665">
            <w:pPr>
              <w:spacing w:after="0"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(a) abordarea simplificată, astfel cum este stabilită la articolele 2 și 3</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din prezentul regulament;</w:t>
            </w:r>
          </w:p>
          <w:p w14:paraId="355633C7" w14:textId="77777777" w:rsidR="004A3AC6" w:rsidRPr="006315B0" w:rsidRDefault="004A3AC6" w:rsidP="003C3665">
            <w:pPr>
              <w:spacing w:after="0"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(b) abordarea delta-plus, astfel cum este stabilită la articolele 4, 5 și 6</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din prezentul regulament;</w:t>
            </w:r>
          </w:p>
          <w:p w14:paraId="5372C274" w14:textId="470D3083" w:rsidR="004A3AC6" w:rsidRPr="006315B0" w:rsidRDefault="004A3AC6" w:rsidP="003C3665">
            <w:pPr>
              <w:spacing w:after="0"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(c) abordarea bazată pe scenarii, astfel cum este stabilită la articolele 7,</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8 și 9 din prezentul regulament.</w:t>
            </w:r>
          </w:p>
        </w:tc>
        <w:tc>
          <w:tcPr>
            <w:tcW w:w="1692" w:type="pct"/>
          </w:tcPr>
          <w:p w14:paraId="36AD2459" w14:textId="0703D8E4" w:rsidR="004A3AC6" w:rsidRPr="00C25E6D" w:rsidRDefault="004A3AC6" w:rsidP="00533B5F">
            <w:pPr>
              <w:spacing w:line="240" w:lineRule="auto"/>
              <w:jc w:val="both"/>
              <w:rPr>
                <w:rFonts w:ascii="Times New Roman" w:hAnsi="Times New Roman" w:cs="Times New Roman"/>
                <w:b/>
                <w:color w:val="000000" w:themeColor="text1"/>
                <w:lang w:val="ro-MD"/>
              </w:rPr>
            </w:pPr>
            <w:bookmarkStart w:id="5" w:name="_Hlk224659350"/>
            <w:r>
              <w:rPr>
                <w:rFonts w:ascii="Times New Roman" w:hAnsi="Times New Roman" w:cs="Times New Roman"/>
                <w:color w:val="000000" w:themeColor="text1"/>
                <w:lang w:val="ro-MD"/>
              </w:rPr>
              <w:t>1</w:t>
            </w:r>
            <w:bookmarkStart w:id="6" w:name="_Hlk224657722"/>
            <w:r>
              <w:rPr>
                <w:rFonts w:ascii="Times New Roman" w:hAnsi="Times New Roman" w:cs="Times New Roman"/>
                <w:color w:val="000000" w:themeColor="text1"/>
                <w:lang w:val="ro-MD"/>
              </w:rPr>
              <w:t>.</w:t>
            </w:r>
            <w:r w:rsidRPr="006315B0">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6315B0">
              <w:rPr>
                <w:rFonts w:ascii="Times New Roman" w:hAnsi="Times New Roman" w:cs="Times New Roman"/>
                <w:color w:val="000000" w:themeColor="text1"/>
                <w:lang w:val="ro-MD"/>
              </w:rPr>
              <w:t xml:space="preserve"> își calculează cerințele de fonduri proprii pentru riscul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piață în ceea ce privește alt risc decât riscul delta al opțiunilor sau al</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astfel cum se prevede la </w:t>
            </w:r>
            <w:r w:rsidR="00F5414C">
              <w:rPr>
                <w:rFonts w:ascii="Times New Roman" w:hAnsi="Times New Roman" w:cs="Times New Roman"/>
                <w:color w:val="000000" w:themeColor="text1"/>
                <w:lang w:val="ro-MD"/>
              </w:rPr>
              <w:t>pct</w:t>
            </w:r>
            <w:r w:rsidR="003838D0">
              <w:rPr>
                <w:rFonts w:ascii="Times New Roman" w:hAnsi="Times New Roman" w:cs="Times New Roman"/>
                <w:color w:val="000000" w:themeColor="text1"/>
                <w:lang w:val="ro-MD"/>
              </w:rPr>
              <w:t>.424</w:t>
            </w:r>
            <w:r w:rsidRPr="006315B0">
              <w:rPr>
                <w:rFonts w:ascii="Times New Roman" w:hAnsi="Times New Roman" w:cs="Times New Roman"/>
                <w:color w:val="000000" w:themeColor="text1"/>
                <w:lang w:val="ro-MD"/>
              </w:rPr>
              <w:t>,</w:t>
            </w:r>
            <w:r w:rsidR="00376CC1">
              <w:rPr>
                <w:rFonts w:ascii="Times New Roman" w:hAnsi="Times New Roman" w:cs="Times New Roman"/>
                <w:color w:val="000000" w:themeColor="text1"/>
                <w:lang w:val="ro-MD"/>
              </w:rPr>
              <w:t xml:space="preserve"> 502</w:t>
            </w:r>
            <w:r w:rsidR="002D32DD">
              <w:rPr>
                <w:rFonts w:ascii="Times New Roman" w:hAnsi="Times New Roman" w:cs="Times New Roman"/>
                <w:color w:val="000000" w:themeColor="text1"/>
                <w:lang w:val="ro-MD"/>
              </w:rPr>
              <w:t xml:space="preserve"> </w:t>
            </w:r>
            <w:bookmarkStart w:id="7" w:name="_Hlk224743333"/>
            <w:r w:rsidR="002D32DD">
              <w:rPr>
                <w:rFonts w:ascii="Times New Roman" w:hAnsi="Times New Roman" w:cs="Times New Roman"/>
                <w:color w:val="000000" w:themeColor="text1"/>
                <w:lang w:val="ro-MD"/>
              </w:rPr>
              <w:t xml:space="preserve">și </w:t>
            </w:r>
            <w:r w:rsidR="002D32DD" w:rsidRPr="002D32DD">
              <w:rPr>
                <w:rFonts w:ascii="Times New Roman" w:hAnsi="Times New Roman" w:cs="Times New Roman"/>
                <w:color w:val="000000" w:themeColor="text1"/>
                <w:lang w:val="ro-MD"/>
              </w:rPr>
              <w:t xml:space="preserve">521-522 </w:t>
            </w:r>
            <w:r w:rsidRPr="006315B0">
              <w:rPr>
                <w:rFonts w:ascii="Times New Roman" w:hAnsi="Times New Roman" w:cs="Times New Roman"/>
                <w:color w:val="000000" w:themeColor="text1"/>
                <w:lang w:val="ro-MD"/>
              </w:rPr>
              <w:t xml:space="preserve"> </w:t>
            </w:r>
            <w:bookmarkEnd w:id="7"/>
            <w:r w:rsidRPr="006315B0">
              <w:rPr>
                <w:rFonts w:ascii="Times New Roman" w:hAnsi="Times New Roman" w:cs="Times New Roman"/>
                <w:color w:val="000000" w:themeColor="text1"/>
                <w:lang w:val="ro-MD"/>
              </w:rPr>
              <w:t>în conformitate cu una dintre următoarele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abordări:</w:t>
            </w:r>
          </w:p>
          <w:p w14:paraId="2B5838B5" w14:textId="3DDB2F63" w:rsidR="004A3AC6" w:rsidRPr="00C25E6D" w:rsidRDefault="004A3AC6" w:rsidP="003C3665">
            <w:pPr>
              <w:spacing w:line="240"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1.1.</w:t>
            </w:r>
            <w:r w:rsidRPr="006315B0">
              <w:rPr>
                <w:rFonts w:ascii="Times New Roman" w:hAnsi="Times New Roman" w:cs="Times New Roman"/>
                <w:color w:val="000000" w:themeColor="text1"/>
                <w:lang w:val="ro-MD"/>
              </w:rPr>
              <w:t xml:space="preserve"> abordarea simplificată, astfel cum este stabilită la </w:t>
            </w:r>
            <w:r>
              <w:rPr>
                <w:rFonts w:ascii="Times New Roman" w:hAnsi="Times New Roman" w:cs="Times New Roman"/>
                <w:color w:val="000000" w:themeColor="text1"/>
                <w:lang w:val="ro-MD"/>
              </w:rPr>
              <w:t>secțiunile</w:t>
            </w:r>
            <w:r w:rsidRPr="006315B0">
              <w:rPr>
                <w:rFonts w:ascii="Times New Roman" w:hAnsi="Times New Roman" w:cs="Times New Roman"/>
                <w:color w:val="000000" w:themeColor="text1"/>
                <w:lang w:val="ro-MD"/>
              </w:rPr>
              <w:t xml:space="preserve"> 2 și 3</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din </w:t>
            </w:r>
            <w:r>
              <w:rPr>
                <w:rFonts w:ascii="Times New Roman" w:hAnsi="Times New Roman" w:cs="Times New Roman"/>
                <w:color w:val="000000" w:themeColor="text1"/>
                <w:lang w:val="ro-MD"/>
              </w:rPr>
              <w:t>prezenta anexă</w:t>
            </w:r>
            <w:r w:rsidRPr="006315B0">
              <w:rPr>
                <w:rFonts w:ascii="Times New Roman" w:hAnsi="Times New Roman" w:cs="Times New Roman"/>
                <w:color w:val="000000" w:themeColor="text1"/>
                <w:lang w:val="ro-MD"/>
              </w:rPr>
              <w:t>;</w:t>
            </w:r>
          </w:p>
          <w:p w14:paraId="749AB9CC" w14:textId="1C6DF61C" w:rsidR="004A3AC6" w:rsidRPr="00C25E6D" w:rsidRDefault="004A3AC6" w:rsidP="003C3665">
            <w:pPr>
              <w:spacing w:line="240"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1.2.</w:t>
            </w:r>
            <w:r w:rsidRPr="006315B0">
              <w:rPr>
                <w:rFonts w:ascii="Times New Roman" w:hAnsi="Times New Roman" w:cs="Times New Roman"/>
                <w:color w:val="000000" w:themeColor="text1"/>
                <w:lang w:val="ro-MD"/>
              </w:rPr>
              <w:t xml:space="preserve"> abordarea delta-plus, astfel cum este stabilită la </w:t>
            </w:r>
            <w:r>
              <w:rPr>
                <w:rFonts w:ascii="Times New Roman" w:hAnsi="Times New Roman" w:cs="Times New Roman"/>
                <w:color w:val="000000" w:themeColor="text1"/>
                <w:lang w:val="ro-MD"/>
              </w:rPr>
              <w:t>secțiunile</w:t>
            </w:r>
            <w:r w:rsidRPr="006315B0">
              <w:rPr>
                <w:rFonts w:ascii="Times New Roman" w:hAnsi="Times New Roman" w:cs="Times New Roman"/>
                <w:color w:val="000000" w:themeColor="text1"/>
                <w:lang w:val="ro-MD"/>
              </w:rPr>
              <w:t xml:space="preserve"> 4, 5 și 6</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din </w:t>
            </w:r>
            <w:r w:rsidRPr="004069E3">
              <w:rPr>
                <w:rFonts w:ascii="Times New Roman" w:hAnsi="Times New Roman" w:cs="Times New Roman"/>
                <w:color w:val="000000" w:themeColor="text1"/>
                <w:lang w:val="ro-MD"/>
              </w:rPr>
              <w:t>prezenta anexă</w:t>
            </w:r>
            <w:r w:rsidRPr="006315B0">
              <w:rPr>
                <w:rFonts w:ascii="Times New Roman" w:hAnsi="Times New Roman" w:cs="Times New Roman"/>
                <w:color w:val="000000" w:themeColor="text1"/>
                <w:lang w:val="ro-MD"/>
              </w:rPr>
              <w:t>;</w:t>
            </w:r>
            <w:r>
              <w:rPr>
                <w:rFonts w:ascii="Times New Roman" w:hAnsi="Times New Roman" w:cs="Times New Roman"/>
                <w:color w:val="000000" w:themeColor="text1"/>
                <w:lang w:val="ro-MD"/>
              </w:rPr>
              <w:t>1.3.</w:t>
            </w:r>
            <w:r w:rsidRPr="006315B0">
              <w:rPr>
                <w:rFonts w:ascii="Times New Roman" w:hAnsi="Times New Roman" w:cs="Times New Roman"/>
                <w:color w:val="000000" w:themeColor="text1"/>
                <w:lang w:val="ro-MD"/>
              </w:rPr>
              <w:t xml:space="preserve"> abordarea bazată pe scenarii, astfel cum este stabilită la </w:t>
            </w:r>
            <w:r>
              <w:rPr>
                <w:rFonts w:ascii="Times New Roman" w:hAnsi="Times New Roman" w:cs="Times New Roman"/>
                <w:color w:val="000000" w:themeColor="text1"/>
                <w:lang w:val="ro-MD"/>
              </w:rPr>
              <w:t>secțiunile</w:t>
            </w:r>
            <w:r w:rsidRPr="006315B0">
              <w:rPr>
                <w:rFonts w:ascii="Times New Roman" w:hAnsi="Times New Roman" w:cs="Times New Roman"/>
                <w:color w:val="000000" w:themeColor="text1"/>
                <w:lang w:val="ro-MD"/>
              </w:rPr>
              <w:t xml:space="preserve"> 7,</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8 și 9 din </w:t>
            </w:r>
            <w:r w:rsidRPr="004069E3">
              <w:rPr>
                <w:rFonts w:ascii="Times New Roman" w:hAnsi="Times New Roman" w:cs="Times New Roman"/>
                <w:color w:val="000000" w:themeColor="text1"/>
                <w:lang w:val="ro-MD"/>
              </w:rPr>
              <w:t>prezenta anexă</w:t>
            </w:r>
            <w:r w:rsidRPr="006315B0">
              <w:rPr>
                <w:rFonts w:ascii="Times New Roman" w:hAnsi="Times New Roman" w:cs="Times New Roman"/>
                <w:color w:val="000000" w:themeColor="text1"/>
                <w:lang w:val="ro-MD"/>
              </w:rPr>
              <w:t>.</w:t>
            </w:r>
            <w:bookmarkEnd w:id="6"/>
            <w:bookmarkEnd w:id="5"/>
          </w:p>
        </w:tc>
        <w:tc>
          <w:tcPr>
            <w:tcW w:w="450" w:type="pct"/>
          </w:tcPr>
          <w:p w14:paraId="63FBAF1C" w14:textId="77777777" w:rsidR="004A3AC6" w:rsidRPr="00C25E6D" w:rsidRDefault="004A3AC6" w:rsidP="003C3665">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6ED6C942" w14:textId="7323BFEB" w:rsidR="004A3AC6" w:rsidRPr="00C25E6D" w:rsidRDefault="004A3AC6" w:rsidP="003C3665">
            <w:pPr>
              <w:spacing w:line="276" w:lineRule="auto"/>
              <w:rPr>
                <w:rFonts w:ascii="Times New Roman" w:hAnsi="Times New Roman" w:cs="Times New Roman"/>
                <w:color w:val="000000" w:themeColor="text1"/>
                <w:lang w:val="ro-MD"/>
              </w:rPr>
            </w:pPr>
          </w:p>
        </w:tc>
        <w:tc>
          <w:tcPr>
            <w:tcW w:w="1261" w:type="pct"/>
          </w:tcPr>
          <w:p w14:paraId="40F3D672" w14:textId="494BA0E1" w:rsidR="004A3AC6" w:rsidRPr="00C25E6D" w:rsidRDefault="004A3AC6" w:rsidP="003C3665">
            <w:pPr>
              <w:spacing w:line="276" w:lineRule="auto"/>
              <w:rPr>
                <w:rFonts w:ascii="Times New Roman" w:hAnsi="Times New Roman" w:cs="Times New Roman"/>
                <w:color w:val="000000" w:themeColor="text1"/>
                <w:lang w:val="ro-MD"/>
              </w:rPr>
            </w:pPr>
          </w:p>
        </w:tc>
      </w:tr>
      <w:tr w:rsidR="003C3665" w:rsidRPr="008D74CE" w14:paraId="0B57DAD5"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73885F8" w14:textId="33CF1693" w:rsidR="003C3665" w:rsidRPr="006315B0" w:rsidRDefault="003C3665"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(2) La calcularea cerințelor de fonduri proprii pe bază consolidată,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instituțiile pot utiliza în mod combinat diferite abordări. Pe bază individuală,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instituțiile pot combina numai abordarea bazată pe scenarii și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abordarea delta-plus, sub rezerva condițiilor prevăzute la articolele 4-9.</w:t>
            </w:r>
          </w:p>
        </w:tc>
        <w:tc>
          <w:tcPr>
            <w:tcW w:w="1692" w:type="pct"/>
          </w:tcPr>
          <w:p w14:paraId="6E7836E2" w14:textId="292BD053" w:rsidR="003C3665" w:rsidRPr="006315B0" w:rsidRDefault="004069E3" w:rsidP="00533B5F">
            <w:pPr>
              <w:spacing w:line="240" w:lineRule="auto"/>
              <w:jc w:val="both"/>
              <w:rPr>
                <w:rFonts w:ascii="Times New Roman" w:hAnsi="Times New Roman" w:cs="Times New Roman"/>
                <w:color w:val="000000" w:themeColor="text1"/>
                <w:lang w:val="ro-MD"/>
              </w:rPr>
            </w:pPr>
            <w:bookmarkStart w:id="8" w:name="_Hlk224659367"/>
            <w:r>
              <w:rPr>
                <w:rFonts w:ascii="Times New Roman" w:hAnsi="Times New Roman" w:cs="Times New Roman"/>
                <w:color w:val="000000" w:themeColor="text1"/>
                <w:lang w:val="ro-MD"/>
              </w:rPr>
              <w:t>2.</w:t>
            </w:r>
            <w:r w:rsidR="003C3665" w:rsidRPr="006315B0">
              <w:rPr>
                <w:rFonts w:ascii="Times New Roman" w:hAnsi="Times New Roman" w:cs="Times New Roman"/>
                <w:color w:val="000000" w:themeColor="text1"/>
                <w:lang w:val="ro-MD"/>
              </w:rPr>
              <w:t xml:space="preserve"> La calcularea cerințelor de fonduri proprii pe bază consolidată,</w:t>
            </w:r>
            <w:r w:rsidR="003C366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6315B0">
              <w:rPr>
                <w:rFonts w:ascii="Times New Roman" w:hAnsi="Times New Roman" w:cs="Times New Roman"/>
                <w:color w:val="000000" w:themeColor="text1"/>
                <w:lang w:val="ro-MD"/>
              </w:rPr>
              <w:t xml:space="preserve"> </w:t>
            </w:r>
            <w:r w:rsidR="003C3665" w:rsidRPr="006315B0">
              <w:rPr>
                <w:rFonts w:ascii="Times New Roman" w:hAnsi="Times New Roman" w:cs="Times New Roman"/>
                <w:color w:val="000000" w:themeColor="text1"/>
                <w:lang w:val="ro-MD"/>
              </w:rPr>
              <w:t>pot utiliza în mod combinat diferite abordări. Pe bază individuală,</w:t>
            </w:r>
            <w:r w:rsidR="003C366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6315B0">
              <w:rPr>
                <w:rFonts w:ascii="Times New Roman" w:hAnsi="Times New Roman" w:cs="Times New Roman"/>
                <w:color w:val="000000" w:themeColor="text1"/>
                <w:lang w:val="ro-MD"/>
              </w:rPr>
              <w:t xml:space="preserve"> </w:t>
            </w:r>
            <w:r w:rsidR="003C3665" w:rsidRPr="006315B0">
              <w:rPr>
                <w:rFonts w:ascii="Times New Roman" w:hAnsi="Times New Roman" w:cs="Times New Roman"/>
                <w:color w:val="000000" w:themeColor="text1"/>
                <w:lang w:val="ro-MD"/>
              </w:rPr>
              <w:t>pot combina numai abordarea bazată pe scenarii și</w:t>
            </w:r>
            <w:r w:rsidR="003C3665">
              <w:rPr>
                <w:rFonts w:ascii="Times New Roman" w:hAnsi="Times New Roman" w:cs="Times New Roman"/>
                <w:color w:val="000000" w:themeColor="text1"/>
                <w:lang w:val="ro-MD"/>
              </w:rPr>
              <w:t xml:space="preserve"> </w:t>
            </w:r>
            <w:r w:rsidR="003C3665" w:rsidRPr="006315B0">
              <w:rPr>
                <w:rFonts w:ascii="Times New Roman" w:hAnsi="Times New Roman" w:cs="Times New Roman"/>
                <w:color w:val="000000" w:themeColor="text1"/>
                <w:lang w:val="ro-MD"/>
              </w:rPr>
              <w:t xml:space="preserve">abordarea delta-plus, sub rezerva condițiilor prevăzute la </w:t>
            </w:r>
            <w:r>
              <w:rPr>
                <w:rFonts w:ascii="Times New Roman" w:hAnsi="Times New Roman" w:cs="Times New Roman"/>
                <w:color w:val="000000" w:themeColor="text1"/>
                <w:lang w:val="ro-MD"/>
              </w:rPr>
              <w:t>secțiunile</w:t>
            </w:r>
            <w:r w:rsidRPr="006315B0">
              <w:rPr>
                <w:rFonts w:ascii="Times New Roman" w:hAnsi="Times New Roman" w:cs="Times New Roman"/>
                <w:color w:val="000000" w:themeColor="text1"/>
                <w:lang w:val="ro-MD"/>
              </w:rPr>
              <w:t xml:space="preserve"> </w:t>
            </w:r>
            <w:r w:rsidR="003C3665" w:rsidRPr="006315B0">
              <w:rPr>
                <w:rFonts w:ascii="Times New Roman" w:hAnsi="Times New Roman" w:cs="Times New Roman"/>
                <w:color w:val="000000" w:themeColor="text1"/>
                <w:lang w:val="ro-MD"/>
              </w:rPr>
              <w:t>4-9.</w:t>
            </w:r>
            <w:bookmarkEnd w:id="8"/>
          </w:p>
        </w:tc>
        <w:tc>
          <w:tcPr>
            <w:tcW w:w="450" w:type="pct"/>
          </w:tcPr>
          <w:p w14:paraId="14DE7A5C" w14:textId="3EB9B4D8" w:rsidR="003C3665" w:rsidRPr="00C25E6D" w:rsidRDefault="004A3AC6" w:rsidP="003C3665">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3608D172" w14:textId="77777777" w:rsidR="003C3665" w:rsidRPr="00C25E6D" w:rsidRDefault="003C3665" w:rsidP="003C3665">
            <w:pPr>
              <w:spacing w:line="276" w:lineRule="auto"/>
              <w:rPr>
                <w:rFonts w:ascii="Times New Roman" w:hAnsi="Times New Roman" w:cs="Times New Roman"/>
                <w:color w:val="000000" w:themeColor="text1"/>
                <w:lang w:val="ro-MD"/>
              </w:rPr>
            </w:pPr>
          </w:p>
        </w:tc>
      </w:tr>
      <w:tr w:rsidR="004A3AC6" w:rsidRPr="004069E3" w14:paraId="50A7FCED" w14:textId="77777777" w:rsidTr="007D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1"/>
        </w:trPr>
        <w:tc>
          <w:tcPr>
            <w:tcW w:w="1597" w:type="pct"/>
          </w:tcPr>
          <w:p w14:paraId="3D81510C" w14:textId="77777777" w:rsidR="004A3AC6" w:rsidRPr="006315B0" w:rsidRDefault="004A3AC6"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(3) Pentru calculul menționat la alineatul (1), instituțiile parcurg</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următoarele etape:</w:t>
            </w:r>
          </w:p>
          <w:p w14:paraId="250F0BA2" w14:textId="77777777" w:rsidR="004A3AC6" w:rsidRPr="006315B0" w:rsidRDefault="004A3AC6"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(a) defalcarea coșurilor de opțiuni sau de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în componentele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lor fundamentale;</w:t>
            </w:r>
          </w:p>
          <w:p w14:paraId="4D3E0A43" w14:textId="77777777" w:rsidR="004A3AC6" w:rsidRPr="006315B0" w:rsidRDefault="004A3AC6"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(b) defalcarea nivelurilor maxime și a nivelurilor minime sau a altor</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opțiuni care se referă la ratele dobânzilor la date diferite, într-un lanț</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opțiuni independente care se referă la diferite perioade de timp</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w:t>
            </w:r>
            <w:proofErr w:type="spellStart"/>
            <w:r w:rsidRPr="006315B0">
              <w:rPr>
                <w:rFonts w:ascii="Times New Roman" w:hAnsi="Times New Roman" w:cs="Times New Roman"/>
                <w:color w:val="000000" w:themeColor="text1"/>
                <w:lang w:val="ro-MD"/>
              </w:rPr>
              <w:t>caplet</w:t>
            </w:r>
            <w:proofErr w:type="spellEnd"/>
            <w:r w:rsidRPr="006315B0">
              <w:rPr>
                <w:rFonts w:ascii="Times New Roman" w:hAnsi="Times New Roman" w:cs="Times New Roman"/>
                <w:color w:val="000000" w:themeColor="text1"/>
                <w:lang w:val="ro-MD"/>
              </w:rPr>
              <w:t>” și „</w:t>
            </w:r>
            <w:proofErr w:type="spellStart"/>
            <w:r w:rsidRPr="006315B0">
              <w:rPr>
                <w:rFonts w:ascii="Times New Roman" w:hAnsi="Times New Roman" w:cs="Times New Roman"/>
                <w:color w:val="000000" w:themeColor="text1"/>
                <w:lang w:val="ro-MD"/>
              </w:rPr>
              <w:t>floorlet</w:t>
            </w:r>
            <w:proofErr w:type="spellEnd"/>
            <w:r w:rsidRPr="006315B0">
              <w:rPr>
                <w:rFonts w:ascii="Times New Roman" w:hAnsi="Times New Roman" w:cs="Times New Roman"/>
                <w:color w:val="000000" w:themeColor="text1"/>
                <w:lang w:val="ro-MD"/>
              </w:rPr>
              <w:t>”);</w:t>
            </w:r>
          </w:p>
          <w:p w14:paraId="601C7FF5" w14:textId="77777777" w:rsidR="004A3AC6" w:rsidRPr="006315B0" w:rsidRDefault="004A3AC6"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(c) tratarea opțiunilor sau a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pe </w:t>
            </w:r>
            <w:proofErr w:type="spellStart"/>
            <w:r w:rsidRPr="006315B0">
              <w:rPr>
                <w:rFonts w:ascii="Times New Roman" w:hAnsi="Times New Roman" w:cs="Times New Roman"/>
                <w:color w:val="000000" w:themeColor="text1"/>
                <w:lang w:val="ro-MD"/>
              </w:rPr>
              <w:t>swapuri</w:t>
            </w:r>
            <w:proofErr w:type="spellEnd"/>
            <w:r w:rsidRPr="006315B0">
              <w:rPr>
                <w:rFonts w:ascii="Times New Roman" w:hAnsi="Times New Roman" w:cs="Times New Roman"/>
                <w:color w:val="000000" w:themeColor="text1"/>
                <w:lang w:val="ro-MD"/>
              </w:rPr>
              <w:t xml:space="preserve"> pe rata dobânzii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fixă/variabilă în opțiuni sau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pe segmentul de rată fixă a</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swapului</w:t>
            </w:r>
            <w:proofErr w:type="spellEnd"/>
            <w:r w:rsidRPr="006315B0">
              <w:rPr>
                <w:rFonts w:ascii="Times New Roman" w:hAnsi="Times New Roman" w:cs="Times New Roman"/>
                <w:color w:val="000000" w:themeColor="text1"/>
                <w:lang w:val="ro-MD"/>
              </w:rPr>
              <w:t>;</w:t>
            </w:r>
          </w:p>
          <w:p w14:paraId="66FB37C9" w14:textId="4065CF1E" w:rsidR="004A3AC6" w:rsidRPr="006315B0" w:rsidRDefault="004A3AC6" w:rsidP="00533B5F">
            <w:pPr>
              <w:spacing w:line="240" w:lineRule="auto"/>
              <w:jc w:val="both"/>
              <w:rPr>
                <w:rFonts w:ascii="Times New Roman" w:hAnsi="Times New Roman" w:cs="Times New Roman"/>
                <w:color w:val="000000" w:themeColor="text1"/>
                <w:lang w:val="ro-MD"/>
              </w:rPr>
            </w:pPr>
            <w:r w:rsidRPr="003C3665">
              <w:rPr>
                <w:rFonts w:ascii="Times New Roman" w:hAnsi="Times New Roman" w:cs="Times New Roman"/>
                <w:color w:val="000000" w:themeColor="text1"/>
                <w:lang w:val="ro-MD"/>
              </w:rPr>
              <w:t xml:space="preserve">(d) tratarea opțiunilor sau a </w:t>
            </w:r>
            <w:proofErr w:type="spellStart"/>
            <w:r w:rsidRPr="003C3665">
              <w:rPr>
                <w:rFonts w:ascii="Times New Roman" w:hAnsi="Times New Roman" w:cs="Times New Roman"/>
                <w:color w:val="000000" w:themeColor="text1"/>
                <w:lang w:val="ro-MD"/>
              </w:rPr>
              <w:t>warranturilor</w:t>
            </w:r>
            <w:proofErr w:type="spellEnd"/>
            <w:r w:rsidRPr="003C3665">
              <w:rPr>
                <w:rFonts w:ascii="Times New Roman" w:hAnsi="Times New Roman" w:cs="Times New Roman"/>
                <w:color w:val="000000" w:themeColor="text1"/>
                <w:lang w:val="ro-MD"/>
              </w:rPr>
              <w:t xml:space="preserve"> care se referă la mai multe suporturi dintre cele descrise la articolul 5 alineatul (3) ca un coș de opțiuni sau de </w:t>
            </w:r>
            <w:proofErr w:type="spellStart"/>
            <w:r w:rsidRPr="003C3665">
              <w:rPr>
                <w:rFonts w:ascii="Times New Roman" w:hAnsi="Times New Roman" w:cs="Times New Roman"/>
                <w:color w:val="000000" w:themeColor="text1"/>
                <w:lang w:val="ro-MD"/>
              </w:rPr>
              <w:t>warranturi</w:t>
            </w:r>
            <w:proofErr w:type="spellEnd"/>
            <w:r w:rsidRPr="003C3665">
              <w:rPr>
                <w:rFonts w:ascii="Times New Roman" w:hAnsi="Times New Roman" w:cs="Times New Roman"/>
                <w:color w:val="000000" w:themeColor="text1"/>
                <w:lang w:val="ro-MD"/>
              </w:rPr>
              <w:t xml:space="preserve"> în care fiecare opțiune are un singur suport distinct.</w:t>
            </w:r>
          </w:p>
        </w:tc>
        <w:tc>
          <w:tcPr>
            <w:tcW w:w="1692" w:type="pct"/>
          </w:tcPr>
          <w:p w14:paraId="3516ACE1" w14:textId="085980CD" w:rsidR="004A3AC6" w:rsidRPr="006315B0" w:rsidRDefault="004A3AC6" w:rsidP="00533B5F">
            <w:pPr>
              <w:spacing w:line="240" w:lineRule="auto"/>
              <w:jc w:val="both"/>
              <w:rPr>
                <w:rFonts w:ascii="Times New Roman" w:hAnsi="Times New Roman" w:cs="Times New Roman"/>
                <w:color w:val="000000" w:themeColor="text1"/>
                <w:lang w:val="ro-MD"/>
              </w:rPr>
            </w:pPr>
            <w:bookmarkStart w:id="9" w:name="_Hlk224659401"/>
            <w:r>
              <w:rPr>
                <w:rFonts w:ascii="Times New Roman" w:hAnsi="Times New Roman" w:cs="Times New Roman"/>
                <w:color w:val="000000" w:themeColor="text1"/>
                <w:lang w:val="ro-MD"/>
              </w:rPr>
              <w:t>3.</w:t>
            </w:r>
            <w:r w:rsidRPr="003C3665">
              <w:rPr>
                <w:rFonts w:ascii="Times New Roman" w:hAnsi="Times New Roman" w:cs="Times New Roman"/>
                <w:color w:val="000000" w:themeColor="text1"/>
                <w:lang w:val="ro-MD"/>
              </w:rPr>
              <w:t xml:space="preserve"> Pentru calculul menționat la</w:t>
            </w:r>
            <w:r>
              <w:rPr>
                <w:rFonts w:ascii="Times New Roman" w:hAnsi="Times New Roman" w:cs="Times New Roman"/>
                <w:color w:val="000000" w:themeColor="text1"/>
                <w:lang w:val="ro-MD"/>
              </w:rPr>
              <w:t>pct.1</w:t>
            </w:r>
            <w:r w:rsidRPr="003C366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3C3665">
              <w:rPr>
                <w:rFonts w:ascii="Times New Roman" w:hAnsi="Times New Roman" w:cs="Times New Roman"/>
                <w:color w:val="000000" w:themeColor="text1"/>
                <w:lang w:val="ro-MD"/>
              </w:rPr>
              <w:t xml:space="preserve"> parcurg următoarele etape:</w:t>
            </w:r>
          </w:p>
          <w:p w14:paraId="41F30230" w14:textId="6CAEE7C0" w:rsidR="004A3AC6" w:rsidRPr="006315B0" w:rsidRDefault="004A3AC6" w:rsidP="00533B5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3.1.</w:t>
            </w:r>
            <w:r w:rsidRPr="006315B0">
              <w:rPr>
                <w:rFonts w:ascii="Times New Roman" w:hAnsi="Times New Roman" w:cs="Times New Roman"/>
                <w:color w:val="000000" w:themeColor="text1"/>
                <w:lang w:val="ro-MD"/>
              </w:rPr>
              <w:t xml:space="preserve"> defalcarea coșurilor de opțiuni sau de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în componentele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lor fundamentale;</w:t>
            </w:r>
          </w:p>
          <w:p w14:paraId="22A7CC19" w14:textId="0CFDA232" w:rsidR="004A3AC6" w:rsidRPr="006315B0" w:rsidRDefault="004A3AC6" w:rsidP="00533B5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3.2.</w:t>
            </w:r>
            <w:r w:rsidRPr="006315B0">
              <w:rPr>
                <w:rFonts w:ascii="Times New Roman" w:hAnsi="Times New Roman" w:cs="Times New Roman"/>
                <w:color w:val="000000" w:themeColor="text1"/>
                <w:lang w:val="ro-MD"/>
              </w:rPr>
              <w:t xml:space="preserve"> defalcarea nivelurilor maxime și a nivelurilor minime sau a altor</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opțiuni care se referă la ratele dobânzilor la date diferite, într-un lanț</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opțiuni independente care se referă la diferite perioade de timp</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w:t>
            </w:r>
            <w:proofErr w:type="spellStart"/>
            <w:r w:rsidRPr="006315B0">
              <w:rPr>
                <w:rFonts w:ascii="Times New Roman" w:hAnsi="Times New Roman" w:cs="Times New Roman"/>
                <w:color w:val="000000" w:themeColor="text1"/>
                <w:lang w:val="ro-MD"/>
              </w:rPr>
              <w:t>caplet</w:t>
            </w:r>
            <w:proofErr w:type="spellEnd"/>
            <w:r w:rsidRPr="006315B0">
              <w:rPr>
                <w:rFonts w:ascii="Times New Roman" w:hAnsi="Times New Roman" w:cs="Times New Roman"/>
                <w:color w:val="000000" w:themeColor="text1"/>
                <w:lang w:val="ro-MD"/>
              </w:rPr>
              <w:t>” și „</w:t>
            </w:r>
            <w:proofErr w:type="spellStart"/>
            <w:r w:rsidRPr="006315B0">
              <w:rPr>
                <w:rFonts w:ascii="Times New Roman" w:hAnsi="Times New Roman" w:cs="Times New Roman"/>
                <w:color w:val="000000" w:themeColor="text1"/>
                <w:lang w:val="ro-MD"/>
              </w:rPr>
              <w:t>floorlet</w:t>
            </w:r>
            <w:proofErr w:type="spellEnd"/>
            <w:r w:rsidRPr="006315B0">
              <w:rPr>
                <w:rFonts w:ascii="Times New Roman" w:hAnsi="Times New Roman" w:cs="Times New Roman"/>
                <w:color w:val="000000" w:themeColor="text1"/>
                <w:lang w:val="ro-MD"/>
              </w:rPr>
              <w:t>”);</w:t>
            </w:r>
          </w:p>
          <w:p w14:paraId="1A4D9AB3" w14:textId="79440BF0" w:rsidR="004A3AC6" w:rsidRPr="006315B0" w:rsidRDefault="004A3AC6" w:rsidP="00533B5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3.3.</w:t>
            </w:r>
            <w:r w:rsidRPr="006315B0">
              <w:rPr>
                <w:rFonts w:ascii="Times New Roman" w:hAnsi="Times New Roman" w:cs="Times New Roman"/>
                <w:color w:val="000000" w:themeColor="text1"/>
                <w:lang w:val="ro-MD"/>
              </w:rPr>
              <w:t xml:space="preserve"> tratarea opțiunilor sau a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pe </w:t>
            </w:r>
            <w:proofErr w:type="spellStart"/>
            <w:r w:rsidRPr="006315B0">
              <w:rPr>
                <w:rFonts w:ascii="Times New Roman" w:hAnsi="Times New Roman" w:cs="Times New Roman"/>
                <w:color w:val="000000" w:themeColor="text1"/>
                <w:lang w:val="ro-MD"/>
              </w:rPr>
              <w:t>swapuri</w:t>
            </w:r>
            <w:proofErr w:type="spellEnd"/>
            <w:r w:rsidRPr="006315B0">
              <w:rPr>
                <w:rFonts w:ascii="Times New Roman" w:hAnsi="Times New Roman" w:cs="Times New Roman"/>
                <w:color w:val="000000" w:themeColor="text1"/>
                <w:lang w:val="ro-MD"/>
              </w:rPr>
              <w:t xml:space="preserve"> pe rata dobânzii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fixă/variabilă în opțiuni sau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pe segmentul de rată fixă a</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swapului</w:t>
            </w:r>
            <w:proofErr w:type="spellEnd"/>
            <w:r w:rsidRPr="006315B0">
              <w:rPr>
                <w:rFonts w:ascii="Times New Roman" w:hAnsi="Times New Roman" w:cs="Times New Roman"/>
                <w:color w:val="000000" w:themeColor="text1"/>
                <w:lang w:val="ro-MD"/>
              </w:rPr>
              <w:t>;</w:t>
            </w:r>
          </w:p>
          <w:p w14:paraId="4E9804DE" w14:textId="32FC965B" w:rsidR="004A3AC6" w:rsidRPr="006315B0" w:rsidRDefault="004A3AC6" w:rsidP="00533B5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3.4.</w:t>
            </w:r>
            <w:r w:rsidRPr="003C3665">
              <w:rPr>
                <w:rFonts w:ascii="Times New Roman" w:hAnsi="Times New Roman" w:cs="Times New Roman"/>
                <w:color w:val="000000" w:themeColor="text1"/>
                <w:lang w:val="ro-MD"/>
              </w:rPr>
              <w:t xml:space="preserve"> tratarea opțiunilor sau a </w:t>
            </w:r>
            <w:proofErr w:type="spellStart"/>
            <w:r w:rsidRPr="003C3665">
              <w:rPr>
                <w:rFonts w:ascii="Times New Roman" w:hAnsi="Times New Roman" w:cs="Times New Roman"/>
                <w:color w:val="000000" w:themeColor="text1"/>
                <w:lang w:val="ro-MD"/>
              </w:rPr>
              <w:t>warranturilor</w:t>
            </w:r>
            <w:proofErr w:type="spellEnd"/>
            <w:r w:rsidRPr="003C3665">
              <w:rPr>
                <w:rFonts w:ascii="Times New Roman" w:hAnsi="Times New Roman" w:cs="Times New Roman"/>
                <w:color w:val="000000" w:themeColor="text1"/>
                <w:lang w:val="ro-MD"/>
              </w:rPr>
              <w:t xml:space="preserve"> care se referă la mai multe suporturi dintre cele descrise la</w:t>
            </w:r>
            <w:r>
              <w:rPr>
                <w:rFonts w:ascii="Times New Roman" w:hAnsi="Times New Roman" w:cs="Times New Roman"/>
                <w:color w:val="000000" w:themeColor="text1"/>
                <w:lang w:val="ro-MD"/>
              </w:rPr>
              <w:t xml:space="preserve"> pct.16</w:t>
            </w:r>
            <w:r w:rsidRPr="003C366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 xml:space="preserve"> </w:t>
            </w:r>
            <w:r w:rsidRPr="003C3665">
              <w:rPr>
                <w:rFonts w:ascii="Times New Roman" w:hAnsi="Times New Roman" w:cs="Times New Roman"/>
                <w:color w:val="000000" w:themeColor="text1"/>
                <w:lang w:val="ro-MD"/>
              </w:rPr>
              <w:t xml:space="preserve">ca un coș de opțiuni sau de </w:t>
            </w:r>
            <w:proofErr w:type="spellStart"/>
            <w:r w:rsidRPr="003C3665">
              <w:rPr>
                <w:rFonts w:ascii="Times New Roman" w:hAnsi="Times New Roman" w:cs="Times New Roman"/>
                <w:color w:val="000000" w:themeColor="text1"/>
                <w:lang w:val="ro-MD"/>
              </w:rPr>
              <w:t>warranturi</w:t>
            </w:r>
            <w:proofErr w:type="spellEnd"/>
            <w:r w:rsidRPr="003C3665">
              <w:rPr>
                <w:rFonts w:ascii="Times New Roman" w:hAnsi="Times New Roman" w:cs="Times New Roman"/>
                <w:color w:val="000000" w:themeColor="text1"/>
                <w:lang w:val="ro-MD"/>
              </w:rPr>
              <w:t xml:space="preserve"> în care fiecare opțiune are un singur suport distinct.</w:t>
            </w:r>
            <w:bookmarkEnd w:id="9"/>
          </w:p>
        </w:tc>
        <w:tc>
          <w:tcPr>
            <w:tcW w:w="450" w:type="pct"/>
          </w:tcPr>
          <w:p w14:paraId="73E6744C" w14:textId="77777777" w:rsidR="004A3AC6" w:rsidRPr="00C25E6D" w:rsidRDefault="004A3AC6" w:rsidP="00E3076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38FF933D" w14:textId="778E2548" w:rsidR="004A3AC6" w:rsidRPr="00C25E6D" w:rsidRDefault="004A3AC6" w:rsidP="00533B5F">
            <w:pPr>
              <w:spacing w:line="276" w:lineRule="auto"/>
              <w:rPr>
                <w:rFonts w:ascii="Times New Roman" w:hAnsi="Times New Roman" w:cs="Times New Roman"/>
                <w:color w:val="000000" w:themeColor="text1"/>
                <w:lang w:val="ro-MD"/>
              </w:rPr>
            </w:pPr>
          </w:p>
        </w:tc>
        <w:tc>
          <w:tcPr>
            <w:tcW w:w="1261" w:type="pct"/>
          </w:tcPr>
          <w:p w14:paraId="3FC055CA" w14:textId="77777777" w:rsidR="004A3AC6" w:rsidRPr="00C25E6D" w:rsidRDefault="004A3AC6" w:rsidP="00E30760">
            <w:pPr>
              <w:spacing w:line="276" w:lineRule="auto"/>
              <w:rPr>
                <w:rFonts w:ascii="Times New Roman" w:hAnsi="Times New Roman" w:cs="Times New Roman"/>
                <w:color w:val="000000" w:themeColor="text1"/>
                <w:lang w:val="ro-MD"/>
              </w:rPr>
            </w:pPr>
          </w:p>
        </w:tc>
      </w:tr>
      <w:tr w:rsidR="006315B0" w:rsidRPr="00F650AB" w14:paraId="3B264FF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2DFC6E4" w14:textId="77777777" w:rsidR="006315B0" w:rsidRPr="006315B0" w:rsidRDefault="006315B0" w:rsidP="00533B5F">
            <w:pPr>
              <w:spacing w:line="240" w:lineRule="auto"/>
              <w:jc w:val="both"/>
              <w:rPr>
                <w:rFonts w:ascii="Times New Roman" w:hAnsi="Times New Roman" w:cs="Times New Roman"/>
                <w:i/>
                <w:iCs/>
                <w:color w:val="000000" w:themeColor="text1"/>
                <w:lang w:val="ro-MD"/>
              </w:rPr>
            </w:pPr>
            <w:r w:rsidRPr="006315B0">
              <w:rPr>
                <w:rFonts w:ascii="Times New Roman" w:hAnsi="Times New Roman" w:cs="Times New Roman"/>
                <w:i/>
                <w:iCs/>
                <w:color w:val="000000" w:themeColor="text1"/>
                <w:lang w:val="ro-MD"/>
              </w:rPr>
              <w:t>Articolul 2</w:t>
            </w:r>
          </w:p>
          <w:p w14:paraId="5A7C27F3" w14:textId="5179824E" w:rsidR="006315B0" w:rsidRPr="006315B0" w:rsidRDefault="006315B0" w:rsidP="00533B5F">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Numai instituțiile care achiziționează exclusiv opțiuni și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pot</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utiliza abordarea simplificată.</w:t>
            </w:r>
          </w:p>
        </w:tc>
        <w:tc>
          <w:tcPr>
            <w:tcW w:w="1692" w:type="pct"/>
          </w:tcPr>
          <w:p w14:paraId="49D22C8D" w14:textId="1B7B1034" w:rsidR="0080226E" w:rsidRDefault="0080226E" w:rsidP="00533B5F">
            <w:pPr>
              <w:spacing w:line="240" w:lineRule="auto"/>
              <w:jc w:val="both"/>
              <w:rPr>
                <w:rFonts w:ascii="Times New Roman" w:hAnsi="Times New Roman" w:cs="Times New Roman"/>
                <w:color w:val="000000" w:themeColor="text1"/>
                <w:lang w:val="ro-MD"/>
              </w:rPr>
            </w:pPr>
            <w:bookmarkStart w:id="10" w:name="_Hlk224659424"/>
            <w:r w:rsidRPr="0080226E">
              <w:rPr>
                <w:rFonts w:ascii="Times New Roman" w:hAnsi="Times New Roman" w:cs="Times New Roman"/>
                <w:i/>
                <w:iCs/>
                <w:color w:val="000000" w:themeColor="text1"/>
                <w:lang w:val="ro-MD"/>
              </w:rPr>
              <w:t xml:space="preserve">Secțiunea 2. </w:t>
            </w:r>
            <w:r w:rsidRPr="0080226E">
              <w:rPr>
                <w:rFonts w:ascii="Times New Roman" w:hAnsi="Times New Roman" w:cs="Times New Roman"/>
                <w:b/>
                <w:bCs/>
                <w:color w:val="000000" w:themeColor="text1"/>
                <w:lang w:val="ro-MD"/>
              </w:rPr>
              <w:t>Determinarea cerințelor de fonduri proprii în conformitate cu abordarea simplificată</w:t>
            </w:r>
          </w:p>
          <w:p w14:paraId="68158A03" w14:textId="1F27F75E" w:rsidR="006315B0" w:rsidRPr="006315B0" w:rsidRDefault="00C06241" w:rsidP="00533B5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4. </w:t>
            </w:r>
            <w:r w:rsidR="00533B5F" w:rsidRPr="00533B5F">
              <w:rPr>
                <w:rFonts w:ascii="Times New Roman" w:hAnsi="Times New Roman" w:cs="Times New Roman"/>
                <w:color w:val="000000" w:themeColor="text1"/>
                <w:lang w:val="ro-MD"/>
              </w:rPr>
              <w:t xml:space="preserve">Numai </w:t>
            </w:r>
            <w:r>
              <w:rPr>
                <w:rFonts w:ascii="Times New Roman" w:hAnsi="Times New Roman" w:cs="Times New Roman"/>
                <w:color w:val="000000" w:themeColor="text1"/>
                <w:lang w:val="ro-MD"/>
              </w:rPr>
              <w:t>băncile</w:t>
            </w:r>
            <w:r w:rsidRPr="00533B5F">
              <w:rPr>
                <w:rFonts w:ascii="Times New Roman" w:hAnsi="Times New Roman" w:cs="Times New Roman"/>
                <w:color w:val="000000" w:themeColor="text1"/>
                <w:lang w:val="ro-MD"/>
              </w:rPr>
              <w:t xml:space="preserve"> </w:t>
            </w:r>
            <w:r w:rsidR="00533B5F" w:rsidRPr="00533B5F">
              <w:rPr>
                <w:rFonts w:ascii="Times New Roman" w:hAnsi="Times New Roman" w:cs="Times New Roman"/>
                <w:color w:val="000000" w:themeColor="text1"/>
                <w:lang w:val="ro-MD"/>
              </w:rPr>
              <w:t xml:space="preserve">care achiziționează exclusiv opțiuni și </w:t>
            </w:r>
            <w:proofErr w:type="spellStart"/>
            <w:r w:rsidR="00533B5F" w:rsidRPr="00533B5F">
              <w:rPr>
                <w:rFonts w:ascii="Times New Roman" w:hAnsi="Times New Roman" w:cs="Times New Roman"/>
                <w:color w:val="000000" w:themeColor="text1"/>
                <w:lang w:val="ro-MD"/>
              </w:rPr>
              <w:t>warranturi</w:t>
            </w:r>
            <w:proofErr w:type="spellEnd"/>
            <w:r w:rsidR="00533B5F" w:rsidRPr="00533B5F">
              <w:rPr>
                <w:rFonts w:ascii="Times New Roman" w:hAnsi="Times New Roman" w:cs="Times New Roman"/>
                <w:color w:val="000000" w:themeColor="text1"/>
                <w:lang w:val="ro-MD"/>
              </w:rPr>
              <w:t xml:space="preserve"> pot utiliza abordarea simplificată.</w:t>
            </w:r>
            <w:bookmarkEnd w:id="10"/>
          </w:p>
        </w:tc>
        <w:tc>
          <w:tcPr>
            <w:tcW w:w="450" w:type="pct"/>
          </w:tcPr>
          <w:p w14:paraId="72B135C4" w14:textId="77777777" w:rsidR="004A3AC6" w:rsidRPr="00C25E6D" w:rsidRDefault="004A3AC6" w:rsidP="004A3AC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1D5C9525"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03D2702E" w14:textId="571AF103" w:rsidR="006315B0" w:rsidRPr="00C25E6D" w:rsidRDefault="004A3AC6" w:rsidP="00E3076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Prevederile de la art.2 au fost incluse în secțiunea 2</w:t>
            </w:r>
            <w:r w:rsidR="00CF31B6">
              <w:rPr>
                <w:rFonts w:ascii="Times New Roman" w:hAnsi="Times New Roman" w:cs="Times New Roman"/>
                <w:color w:val="000000" w:themeColor="text1"/>
                <w:lang w:val="ro-MD"/>
              </w:rPr>
              <w:t>, care cuprinde prevederile art.2 și 3.</w:t>
            </w:r>
          </w:p>
        </w:tc>
      </w:tr>
      <w:tr w:rsidR="006315B0" w:rsidRPr="00C06241" w14:paraId="5FC0A489"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FCD1667" w14:textId="5ECFCEF8" w:rsidR="006315B0" w:rsidRPr="003C3665" w:rsidRDefault="006315B0" w:rsidP="006315B0">
            <w:pPr>
              <w:spacing w:line="276" w:lineRule="auto"/>
              <w:jc w:val="both"/>
              <w:rPr>
                <w:rFonts w:ascii="Times New Roman" w:hAnsi="Times New Roman" w:cs="Times New Roman"/>
                <w:i/>
                <w:iCs/>
                <w:color w:val="000000" w:themeColor="text1"/>
                <w:lang w:val="ro-MD"/>
              </w:rPr>
            </w:pPr>
            <w:r w:rsidRPr="006315B0">
              <w:rPr>
                <w:rFonts w:ascii="Times New Roman" w:hAnsi="Times New Roman" w:cs="Times New Roman"/>
                <w:i/>
                <w:iCs/>
                <w:color w:val="000000" w:themeColor="text1"/>
                <w:lang w:val="ro-MD"/>
              </w:rPr>
              <w:t>Articolul 3</w:t>
            </w:r>
            <w:r w:rsidR="003C3665">
              <w:rPr>
                <w:rFonts w:ascii="Times New Roman" w:hAnsi="Times New Roman" w:cs="Times New Roman"/>
                <w:i/>
                <w:iCs/>
                <w:color w:val="000000" w:themeColor="text1"/>
                <w:lang w:val="ro-MD"/>
              </w:rPr>
              <w:t xml:space="preserve"> </w:t>
            </w:r>
            <w:r w:rsidRPr="006315B0">
              <w:rPr>
                <w:rFonts w:ascii="Times New Roman" w:hAnsi="Times New Roman" w:cs="Times New Roman"/>
                <w:b/>
                <w:bCs/>
                <w:color w:val="000000" w:themeColor="text1"/>
                <w:lang w:val="ro-MD"/>
              </w:rPr>
              <w:t>Determinarea cerințelor de fonduri proprii în conformitate cu</w:t>
            </w:r>
            <w:r w:rsidR="003C3665">
              <w:rPr>
                <w:rFonts w:ascii="Times New Roman" w:hAnsi="Times New Roman" w:cs="Times New Roman"/>
                <w:b/>
                <w:bCs/>
                <w:color w:val="000000" w:themeColor="text1"/>
                <w:lang w:val="ro-MD"/>
              </w:rPr>
              <w:t xml:space="preserve"> </w:t>
            </w:r>
            <w:r w:rsidRPr="006315B0">
              <w:rPr>
                <w:rFonts w:ascii="Times New Roman" w:hAnsi="Times New Roman" w:cs="Times New Roman"/>
                <w:b/>
                <w:bCs/>
                <w:color w:val="000000" w:themeColor="text1"/>
                <w:lang w:val="ro-MD"/>
              </w:rPr>
              <w:t>abordarea simplificată</w:t>
            </w:r>
          </w:p>
        </w:tc>
        <w:tc>
          <w:tcPr>
            <w:tcW w:w="1692" w:type="pct"/>
          </w:tcPr>
          <w:p w14:paraId="19E12B63" w14:textId="1FBBCB9D" w:rsidR="006315B0" w:rsidRPr="006315B0" w:rsidRDefault="006315B0" w:rsidP="006315B0">
            <w:pPr>
              <w:spacing w:line="276" w:lineRule="auto"/>
              <w:jc w:val="both"/>
              <w:rPr>
                <w:rFonts w:ascii="Times New Roman" w:hAnsi="Times New Roman" w:cs="Times New Roman"/>
                <w:color w:val="000000" w:themeColor="text1"/>
                <w:lang w:val="ro-MD"/>
              </w:rPr>
            </w:pPr>
          </w:p>
        </w:tc>
        <w:tc>
          <w:tcPr>
            <w:tcW w:w="450" w:type="pct"/>
          </w:tcPr>
          <w:p w14:paraId="6E4A30C1" w14:textId="40D1F440" w:rsidR="006315B0" w:rsidRPr="00C25E6D" w:rsidRDefault="006315B0" w:rsidP="00CF31B6">
            <w:pPr>
              <w:spacing w:line="276" w:lineRule="auto"/>
              <w:rPr>
                <w:rFonts w:ascii="Times New Roman" w:hAnsi="Times New Roman" w:cs="Times New Roman"/>
                <w:color w:val="000000" w:themeColor="text1"/>
                <w:lang w:val="ro-MD"/>
              </w:rPr>
            </w:pPr>
          </w:p>
        </w:tc>
        <w:tc>
          <w:tcPr>
            <w:tcW w:w="1261" w:type="pct"/>
          </w:tcPr>
          <w:p w14:paraId="2F3D5A5E"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4A3AC6" w:rsidRPr="004A3AC6" w14:paraId="54A1618B" w14:textId="77777777" w:rsidTr="00306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6"/>
        </w:trPr>
        <w:tc>
          <w:tcPr>
            <w:tcW w:w="1597" w:type="pct"/>
          </w:tcPr>
          <w:p w14:paraId="544D5204" w14:textId="412952C9" w:rsidR="004A3AC6" w:rsidRPr="006315B0" w:rsidRDefault="004A3AC6" w:rsidP="00BF4082">
            <w:pPr>
              <w:spacing w:after="0"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(1) Instituțiile care aplică abordarea simplificată calculează cerințele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fonduri proprii în raport cu alte riscuri decât riscul delta ale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opțiunilor sau ale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xml:space="preserve"> și put ca fiind cuantumul mai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mare dintre zero și diferența dintre următoarele valori:</w:t>
            </w:r>
          </w:p>
          <w:p w14:paraId="0CA64BEF" w14:textId="77777777" w:rsidR="004A3AC6" w:rsidRPr="006315B0" w:rsidRDefault="004A3AC6" w:rsidP="00BF4082">
            <w:pPr>
              <w:spacing w:after="0"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(a) cuantumul brut, astfel cum se descrie la alineatele (2)-(5);</w:t>
            </w:r>
          </w:p>
          <w:p w14:paraId="62BBCBD7" w14:textId="77777777" w:rsidR="004A3AC6" w:rsidRPr="00BF4082" w:rsidRDefault="004A3AC6" w:rsidP="00BF4082">
            <w:pPr>
              <w:spacing w:after="0" w:line="240" w:lineRule="auto"/>
              <w:jc w:val="both"/>
              <w:rPr>
                <w:rFonts w:ascii="Times New Roman" w:hAnsi="Times New Roman" w:cs="Times New Roman"/>
                <w:color w:val="000000" w:themeColor="text1"/>
                <w:lang w:val="ro-MD"/>
              </w:rPr>
            </w:pPr>
            <w:r w:rsidRPr="00BF4082">
              <w:rPr>
                <w:rFonts w:ascii="Times New Roman" w:hAnsi="Times New Roman" w:cs="Times New Roman"/>
                <w:color w:val="000000" w:themeColor="text1"/>
                <w:lang w:val="ro-MD"/>
              </w:rPr>
              <w:t>(b) cuantumul echivalentului delta ponderat la risc, care se calculează ca valoarea de piață a instrumentului-suport, înmulțită cu valoarea delta și apoi înmulțită cu una dintre următoarele ponderări relevante:</w:t>
            </w:r>
          </w:p>
          <w:p w14:paraId="5987E3E6" w14:textId="77777777" w:rsidR="004A3AC6" w:rsidRPr="00BF4082" w:rsidRDefault="004A3AC6" w:rsidP="00BF4082">
            <w:pPr>
              <w:spacing w:after="0" w:line="240" w:lineRule="auto"/>
              <w:jc w:val="both"/>
              <w:rPr>
                <w:rFonts w:ascii="Times New Roman" w:hAnsi="Times New Roman" w:cs="Times New Roman"/>
                <w:color w:val="000000" w:themeColor="text1"/>
                <w:lang w:val="ro-MD"/>
              </w:rPr>
            </w:pPr>
            <w:r w:rsidRPr="00BF4082">
              <w:rPr>
                <w:rFonts w:ascii="Times New Roman" w:hAnsi="Times New Roman" w:cs="Times New Roman"/>
                <w:color w:val="000000" w:themeColor="text1"/>
                <w:lang w:val="ro-MD"/>
              </w:rPr>
              <w:t>(i) pentru riscul specific și general al titlurilor de capital sau pentru riscul ratei dobânzii, în conformitate cu partea a treia titlul IV capitolul 2 din Regulamentul (UE) nr. 575/2013;</w:t>
            </w:r>
          </w:p>
          <w:p w14:paraId="4D3EE4DE" w14:textId="77777777" w:rsidR="004A3AC6" w:rsidRPr="00BF4082" w:rsidRDefault="004A3AC6" w:rsidP="00BF4082">
            <w:pPr>
              <w:spacing w:after="0" w:line="240" w:lineRule="auto"/>
              <w:jc w:val="both"/>
              <w:rPr>
                <w:rFonts w:ascii="Times New Roman" w:hAnsi="Times New Roman" w:cs="Times New Roman"/>
                <w:color w:val="000000" w:themeColor="text1"/>
                <w:lang w:val="ro-MD"/>
              </w:rPr>
            </w:pPr>
            <w:r w:rsidRPr="00BF4082">
              <w:rPr>
                <w:rFonts w:ascii="Times New Roman" w:hAnsi="Times New Roman" w:cs="Times New Roman"/>
                <w:color w:val="000000" w:themeColor="text1"/>
                <w:lang w:val="ro-MD"/>
              </w:rPr>
              <w:t>(ii) pentru riscul de marfă, în conformitate cu partea a treia titlul IV capitolul 4 din Regulamentul (UE) nr. 575/2013; și</w:t>
            </w:r>
          </w:p>
          <w:p w14:paraId="65128502" w14:textId="00DEEB39" w:rsidR="004A3AC6" w:rsidRPr="006315B0" w:rsidRDefault="004A3AC6" w:rsidP="00BF4082">
            <w:pPr>
              <w:spacing w:after="0" w:line="240" w:lineRule="auto"/>
              <w:jc w:val="both"/>
              <w:rPr>
                <w:rFonts w:ascii="Times New Roman" w:hAnsi="Times New Roman" w:cs="Times New Roman"/>
                <w:color w:val="000000" w:themeColor="text1"/>
                <w:lang w:val="ro-MD"/>
              </w:rPr>
            </w:pPr>
            <w:r w:rsidRPr="00BF4082">
              <w:rPr>
                <w:rFonts w:ascii="Times New Roman" w:hAnsi="Times New Roman" w:cs="Times New Roman"/>
                <w:color w:val="000000" w:themeColor="text1"/>
                <w:lang w:val="ro-MD"/>
              </w:rPr>
              <w:t>(iii) pentru riscul de schimb valutar, în conformitate cu partea a treia titlul IV capitolul 3 din Regulamentul (UE) nr. 575/2013.</w:t>
            </w:r>
          </w:p>
        </w:tc>
        <w:tc>
          <w:tcPr>
            <w:tcW w:w="1692" w:type="pct"/>
          </w:tcPr>
          <w:p w14:paraId="1F7E2B9A" w14:textId="5C53A6F8" w:rsidR="004A3AC6" w:rsidRPr="006315B0" w:rsidRDefault="004A3AC6" w:rsidP="00BF4082">
            <w:pPr>
              <w:spacing w:after="0" w:line="240" w:lineRule="auto"/>
              <w:jc w:val="both"/>
              <w:rPr>
                <w:rFonts w:ascii="Times New Roman" w:hAnsi="Times New Roman" w:cs="Times New Roman"/>
                <w:color w:val="000000" w:themeColor="text1"/>
                <w:lang w:val="ro-MD"/>
              </w:rPr>
            </w:pPr>
            <w:bookmarkStart w:id="11" w:name="_Hlk224659448"/>
            <w:r>
              <w:rPr>
                <w:rFonts w:ascii="Times New Roman" w:hAnsi="Times New Roman" w:cs="Times New Roman"/>
                <w:color w:val="000000" w:themeColor="text1"/>
                <w:lang w:val="ro-MD"/>
              </w:rPr>
              <w:t>5.</w:t>
            </w:r>
            <w:r w:rsidRPr="006315B0">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6315B0">
              <w:rPr>
                <w:rFonts w:ascii="Times New Roman" w:hAnsi="Times New Roman" w:cs="Times New Roman"/>
                <w:color w:val="000000" w:themeColor="text1"/>
                <w:lang w:val="ro-MD"/>
              </w:rPr>
              <w:t xml:space="preserve"> care aplică abordarea simplificată calculează cerințele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fonduri proprii în raport cu alte riscuri decât riscul delta ale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opțiunilor sau ale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xml:space="preserve"> și put ca fiind cuantumul mai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mare dintre zero și diferența dintre următoarele valori:</w:t>
            </w:r>
          </w:p>
          <w:p w14:paraId="39E5CA5B" w14:textId="3FFC99A2" w:rsidR="004A3AC6" w:rsidRPr="006315B0" w:rsidRDefault="004A3AC6" w:rsidP="00BF4082">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5.1.</w:t>
            </w:r>
            <w:r w:rsidRPr="006315B0">
              <w:rPr>
                <w:rFonts w:ascii="Times New Roman" w:hAnsi="Times New Roman" w:cs="Times New Roman"/>
                <w:color w:val="000000" w:themeColor="text1"/>
                <w:lang w:val="ro-MD"/>
              </w:rPr>
              <w:t xml:space="preserve"> cuantumul brut, astfel cum se descrie la</w:t>
            </w:r>
            <w:r>
              <w:rPr>
                <w:rFonts w:ascii="Times New Roman" w:hAnsi="Times New Roman" w:cs="Times New Roman"/>
                <w:color w:val="000000" w:themeColor="text1"/>
                <w:lang w:val="ro-MD"/>
              </w:rPr>
              <w:t xml:space="preserve"> pct.6-9</w:t>
            </w:r>
            <w:r w:rsidRPr="00222DAD">
              <w:rPr>
                <w:rFonts w:ascii="Times New Roman" w:hAnsi="Times New Roman" w:cs="Times New Roman"/>
                <w:color w:val="000000" w:themeColor="text1"/>
                <w:lang w:val="ro-MD"/>
              </w:rPr>
              <w:t>;</w:t>
            </w:r>
          </w:p>
          <w:p w14:paraId="3F90C785" w14:textId="589EC0C8" w:rsidR="004A3AC6" w:rsidRPr="00BF4082" w:rsidRDefault="004A3AC6" w:rsidP="00BF4082">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5.2.</w:t>
            </w:r>
            <w:r w:rsidRPr="00BF4082">
              <w:rPr>
                <w:rFonts w:ascii="Times New Roman" w:hAnsi="Times New Roman" w:cs="Times New Roman"/>
                <w:color w:val="000000" w:themeColor="text1"/>
                <w:lang w:val="ro-MD"/>
              </w:rPr>
              <w:t xml:space="preserve"> cuantumul echivalentului delta ponderat la risc, care se calculează ca valoarea de piață a instrumentului-suport, înmulțită cu valoarea delta și apoi înmulțită cu una dintre următoarele ponderări relevante:</w:t>
            </w:r>
          </w:p>
          <w:p w14:paraId="30431794" w14:textId="5D10E5E0" w:rsidR="004A3AC6" w:rsidRPr="00BF4082" w:rsidRDefault="004A3AC6" w:rsidP="00BF4082">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5.2.1.</w:t>
            </w:r>
            <w:r w:rsidRPr="00BF4082">
              <w:rPr>
                <w:rFonts w:ascii="Times New Roman" w:hAnsi="Times New Roman" w:cs="Times New Roman"/>
                <w:color w:val="000000" w:themeColor="text1"/>
                <w:lang w:val="ro-MD"/>
              </w:rPr>
              <w:t xml:space="preserve"> pentru riscul specific și general al titlurilor de capital sau pentru riscul ratei dobânzii, în conformitate cu </w:t>
            </w:r>
            <w:r>
              <w:rPr>
                <w:rFonts w:ascii="Times New Roman" w:hAnsi="Times New Roman" w:cs="Times New Roman"/>
                <w:color w:val="000000" w:themeColor="text1"/>
                <w:lang w:val="ro-MD"/>
              </w:rPr>
              <w:t xml:space="preserve">capitolul IV din Regulamentul </w:t>
            </w:r>
            <w:proofErr w:type="spellStart"/>
            <w:r>
              <w:rPr>
                <w:rFonts w:ascii="Times New Roman" w:hAnsi="Times New Roman" w:cs="Times New Roman"/>
                <w:color w:val="000000" w:themeColor="text1"/>
                <w:lang w:val="ro-MD"/>
              </w:rPr>
              <w:t>nr.XX</w:t>
            </w:r>
            <w:proofErr w:type="spellEnd"/>
            <w:r>
              <w:rPr>
                <w:rFonts w:ascii="Times New Roman" w:hAnsi="Times New Roman" w:cs="Times New Roman"/>
                <w:color w:val="000000" w:themeColor="text1"/>
                <w:lang w:val="ro-MD"/>
              </w:rPr>
              <w:t>/2026</w:t>
            </w:r>
            <w:r w:rsidRPr="00BF4082">
              <w:rPr>
                <w:rFonts w:ascii="Times New Roman" w:hAnsi="Times New Roman" w:cs="Times New Roman"/>
                <w:color w:val="000000" w:themeColor="text1"/>
                <w:lang w:val="ro-MD"/>
              </w:rPr>
              <w:t>;</w:t>
            </w:r>
          </w:p>
          <w:p w14:paraId="18EC4F93" w14:textId="49394CD6" w:rsidR="004A3AC6" w:rsidRPr="00BF4082" w:rsidRDefault="004A3AC6" w:rsidP="00BF4082">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5.2.2.</w:t>
            </w:r>
            <w:r w:rsidRPr="00BF4082">
              <w:rPr>
                <w:rFonts w:ascii="Times New Roman" w:hAnsi="Times New Roman" w:cs="Times New Roman"/>
                <w:color w:val="000000" w:themeColor="text1"/>
                <w:lang w:val="ro-MD"/>
              </w:rPr>
              <w:t xml:space="preserve"> pentru riscul de marfă, în conformitate cu </w:t>
            </w:r>
            <w:r>
              <w:rPr>
                <w:rFonts w:ascii="Times New Roman" w:hAnsi="Times New Roman" w:cs="Times New Roman"/>
                <w:color w:val="000000" w:themeColor="text1"/>
                <w:lang w:val="ro-MD"/>
              </w:rPr>
              <w:t xml:space="preserve">capitolul VI din Regulamentul </w:t>
            </w:r>
            <w:proofErr w:type="spellStart"/>
            <w:r>
              <w:rPr>
                <w:rFonts w:ascii="Times New Roman" w:hAnsi="Times New Roman" w:cs="Times New Roman"/>
                <w:color w:val="000000" w:themeColor="text1"/>
                <w:lang w:val="ro-MD"/>
              </w:rPr>
              <w:t>nr.XX</w:t>
            </w:r>
            <w:proofErr w:type="spellEnd"/>
            <w:r>
              <w:rPr>
                <w:rFonts w:ascii="Times New Roman" w:hAnsi="Times New Roman" w:cs="Times New Roman"/>
                <w:color w:val="000000" w:themeColor="text1"/>
                <w:lang w:val="ro-MD"/>
              </w:rPr>
              <w:t>/2026</w:t>
            </w:r>
            <w:r w:rsidRPr="00BF4082">
              <w:rPr>
                <w:rFonts w:ascii="Times New Roman" w:hAnsi="Times New Roman" w:cs="Times New Roman"/>
                <w:color w:val="000000" w:themeColor="text1"/>
                <w:lang w:val="ro-MD"/>
              </w:rPr>
              <w:t>; și</w:t>
            </w:r>
          </w:p>
          <w:p w14:paraId="12857A91" w14:textId="2504AA14" w:rsidR="004A3AC6" w:rsidRPr="006315B0" w:rsidRDefault="004A3AC6" w:rsidP="00BF4082">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5.2.3.</w:t>
            </w:r>
            <w:r w:rsidRPr="00BF4082">
              <w:rPr>
                <w:rFonts w:ascii="Times New Roman" w:hAnsi="Times New Roman" w:cs="Times New Roman"/>
                <w:color w:val="000000" w:themeColor="text1"/>
                <w:lang w:val="ro-MD"/>
              </w:rPr>
              <w:t xml:space="preserve"> pentru riscul de schimb valutar, în conformitate cu </w:t>
            </w:r>
            <w:r>
              <w:rPr>
                <w:rFonts w:ascii="Times New Roman" w:hAnsi="Times New Roman" w:cs="Times New Roman"/>
                <w:color w:val="000000" w:themeColor="text1"/>
                <w:lang w:val="ro-MD"/>
              </w:rPr>
              <w:t xml:space="preserve">capitolul V din Regulamentul </w:t>
            </w:r>
            <w:proofErr w:type="spellStart"/>
            <w:r>
              <w:rPr>
                <w:rFonts w:ascii="Times New Roman" w:hAnsi="Times New Roman" w:cs="Times New Roman"/>
                <w:color w:val="000000" w:themeColor="text1"/>
                <w:lang w:val="ro-MD"/>
              </w:rPr>
              <w:t>nr.XX</w:t>
            </w:r>
            <w:proofErr w:type="spellEnd"/>
            <w:r>
              <w:rPr>
                <w:rFonts w:ascii="Times New Roman" w:hAnsi="Times New Roman" w:cs="Times New Roman"/>
                <w:color w:val="000000" w:themeColor="text1"/>
                <w:lang w:val="ro-MD"/>
              </w:rPr>
              <w:t>/2026</w:t>
            </w:r>
            <w:r w:rsidRPr="00BF4082">
              <w:rPr>
                <w:rFonts w:ascii="Times New Roman" w:hAnsi="Times New Roman" w:cs="Times New Roman"/>
                <w:color w:val="000000" w:themeColor="text1"/>
                <w:lang w:val="ro-MD"/>
              </w:rPr>
              <w:t>.</w:t>
            </w:r>
            <w:bookmarkEnd w:id="11"/>
          </w:p>
        </w:tc>
        <w:tc>
          <w:tcPr>
            <w:tcW w:w="450" w:type="pct"/>
          </w:tcPr>
          <w:p w14:paraId="25BBC22D" w14:textId="4B80BDA3" w:rsidR="004A3AC6" w:rsidRPr="00C25E6D" w:rsidRDefault="00CF31B6" w:rsidP="00BF4082">
            <w:pPr>
              <w:spacing w:after="0"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2F150659" w14:textId="77777777" w:rsidR="004A3AC6" w:rsidRPr="00C25E6D" w:rsidRDefault="004A3AC6" w:rsidP="00BF4082">
            <w:pPr>
              <w:spacing w:after="0" w:line="276" w:lineRule="auto"/>
              <w:rPr>
                <w:rFonts w:ascii="Times New Roman" w:hAnsi="Times New Roman" w:cs="Times New Roman"/>
                <w:color w:val="000000" w:themeColor="text1"/>
                <w:lang w:val="ro-MD"/>
              </w:rPr>
            </w:pPr>
          </w:p>
        </w:tc>
      </w:tr>
      <w:tr w:rsidR="004A3AC6" w:rsidRPr="004A3AC6" w14:paraId="1D7ED9CD" w14:textId="77777777" w:rsidTr="00003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2"/>
        </w:trPr>
        <w:tc>
          <w:tcPr>
            <w:tcW w:w="1597" w:type="pct"/>
          </w:tcPr>
          <w:p w14:paraId="58A0ED0D" w14:textId="77777777" w:rsidR="004A3AC6" w:rsidRPr="006315B0" w:rsidRDefault="004A3AC6" w:rsidP="00BF4082">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 xml:space="preserve">(2) Pentru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care se încadrează în una dintre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următoarele două categorii, cuantumul brut menționat la alineatul (1) se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determină în conformitate cu alineatele (3)-(4):</w:t>
            </w:r>
          </w:p>
          <w:p w14:paraId="30B2DF45" w14:textId="77777777" w:rsidR="004A3AC6" w:rsidRPr="006315B0" w:rsidRDefault="004A3AC6" w:rsidP="00BF4082">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(a) în cazul în care cumpărătorul are dreptul necondiționat de 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cumpăra activul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suport la un preț prestabilit la scadență sau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orice moment înainte de scadență și în cazul în care vânzătorul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are obligația de a îndeplini cererea cumpărătorului („opțiuni sau</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xml:space="preserve"> simple”);</w:t>
            </w:r>
          </w:p>
          <w:p w14:paraId="4D74D6A8" w14:textId="592C21D9" w:rsidR="004A3AC6" w:rsidRPr="006315B0" w:rsidRDefault="004A3AC6" w:rsidP="00BF4082">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(b) în cazul în care cumpărătorul are dreptul necondiționat de a vinde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activul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suport în același mod ca cel descris la litera (a) („opțiuni sau</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put simple”).</w:t>
            </w:r>
          </w:p>
        </w:tc>
        <w:tc>
          <w:tcPr>
            <w:tcW w:w="1692" w:type="pct"/>
          </w:tcPr>
          <w:p w14:paraId="39084CA2" w14:textId="23665DFB" w:rsidR="004A3AC6" w:rsidRPr="006315B0" w:rsidRDefault="004A3AC6" w:rsidP="00BF4082">
            <w:pPr>
              <w:spacing w:line="240" w:lineRule="auto"/>
              <w:jc w:val="both"/>
              <w:rPr>
                <w:rFonts w:ascii="Times New Roman" w:hAnsi="Times New Roman" w:cs="Times New Roman"/>
                <w:color w:val="000000" w:themeColor="text1"/>
                <w:lang w:val="ro-MD"/>
              </w:rPr>
            </w:pPr>
            <w:bookmarkStart w:id="12" w:name="_Hlk224659473"/>
            <w:r>
              <w:rPr>
                <w:rFonts w:ascii="Times New Roman" w:hAnsi="Times New Roman" w:cs="Times New Roman"/>
                <w:color w:val="000000" w:themeColor="text1"/>
                <w:lang w:val="ro-MD"/>
              </w:rPr>
              <w:t>6.</w:t>
            </w:r>
            <w:r w:rsidRPr="006315B0">
              <w:rPr>
                <w:rFonts w:ascii="Times New Roman" w:hAnsi="Times New Roman" w:cs="Times New Roman"/>
                <w:color w:val="000000" w:themeColor="text1"/>
                <w:lang w:val="ro-MD"/>
              </w:rPr>
              <w:t xml:space="preserve"> Pentru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care se încadrează în una dintre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următoarele două categorii, cuantumul brut menționat la </w:t>
            </w:r>
            <w:r>
              <w:rPr>
                <w:rFonts w:ascii="Times New Roman" w:hAnsi="Times New Roman" w:cs="Times New Roman"/>
                <w:color w:val="000000" w:themeColor="text1"/>
                <w:lang w:val="ro-MD"/>
              </w:rPr>
              <w:t>pct.5</w:t>
            </w:r>
            <w:r w:rsidRPr="006315B0">
              <w:rPr>
                <w:rFonts w:ascii="Times New Roman" w:hAnsi="Times New Roman" w:cs="Times New Roman"/>
                <w:color w:val="000000" w:themeColor="text1"/>
                <w:lang w:val="ro-MD"/>
              </w:rPr>
              <w:t xml:space="preserve"> se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determină în conformitate cu</w:t>
            </w:r>
            <w:r>
              <w:rPr>
                <w:rFonts w:ascii="Times New Roman" w:hAnsi="Times New Roman" w:cs="Times New Roman"/>
                <w:color w:val="000000" w:themeColor="text1"/>
                <w:lang w:val="ro-MD"/>
              </w:rPr>
              <w:t xml:space="preserve"> </w:t>
            </w:r>
            <w:r w:rsidRPr="00222DAD">
              <w:rPr>
                <w:rFonts w:ascii="Times New Roman" w:hAnsi="Times New Roman" w:cs="Times New Roman"/>
                <w:color w:val="000000" w:themeColor="text1"/>
                <w:lang w:val="ro-MD"/>
              </w:rPr>
              <w:t>pct.7-8:</w:t>
            </w:r>
          </w:p>
          <w:p w14:paraId="0E70AD1C" w14:textId="2930275F" w:rsidR="004A3AC6" w:rsidRPr="006315B0" w:rsidRDefault="004A3AC6" w:rsidP="00BF4082">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6.1.</w:t>
            </w:r>
            <w:r w:rsidRPr="006315B0">
              <w:rPr>
                <w:rFonts w:ascii="Times New Roman" w:hAnsi="Times New Roman" w:cs="Times New Roman"/>
                <w:color w:val="000000" w:themeColor="text1"/>
                <w:lang w:val="ro-MD"/>
              </w:rPr>
              <w:t xml:space="preserve"> în cazul în care cumpărătorul are dreptul necondiționat de 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cumpăra activul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suport la un preț prestabilit la scadență sau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orice moment înainte de scadență și în cazul în care vânzătorul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are obligația de a îndeplini cererea cumpărătorului („opțiuni sau</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xml:space="preserve"> simple”);</w:t>
            </w:r>
          </w:p>
          <w:p w14:paraId="165BDBBA" w14:textId="75F7298E" w:rsidR="004A3AC6" w:rsidRPr="006315B0" w:rsidRDefault="004A3AC6" w:rsidP="00BF4082">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6.2.</w:t>
            </w:r>
            <w:r w:rsidRPr="006315B0">
              <w:rPr>
                <w:rFonts w:ascii="Times New Roman" w:hAnsi="Times New Roman" w:cs="Times New Roman"/>
                <w:color w:val="000000" w:themeColor="text1"/>
                <w:lang w:val="ro-MD"/>
              </w:rPr>
              <w:t xml:space="preserve"> în cazul în care cumpărătorul are dreptul necondiționat de a vinde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activul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suport în același mod ca cel descris la </w:t>
            </w:r>
            <w:r>
              <w:rPr>
                <w:rFonts w:ascii="Times New Roman" w:hAnsi="Times New Roman" w:cs="Times New Roman"/>
                <w:color w:val="000000" w:themeColor="text1"/>
                <w:lang w:val="ro-MD"/>
              </w:rPr>
              <w:t>subpct.6.1</w:t>
            </w:r>
            <w:r w:rsidRPr="006315B0">
              <w:rPr>
                <w:rFonts w:ascii="Times New Roman" w:hAnsi="Times New Roman" w:cs="Times New Roman"/>
                <w:color w:val="000000" w:themeColor="text1"/>
                <w:lang w:val="ro-MD"/>
              </w:rPr>
              <w:t xml:space="preserve"> („opțiuni sau</w:t>
            </w:r>
            <w:r>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put simple”).</w:t>
            </w:r>
            <w:bookmarkEnd w:id="12"/>
          </w:p>
        </w:tc>
        <w:tc>
          <w:tcPr>
            <w:tcW w:w="450" w:type="pct"/>
          </w:tcPr>
          <w:p w14:paraId="52F58D79"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5D09293D" w14:textId="77777777" w:rsidR="004A3AC6" w:rsidRPr="00C25E6D" w:rsidRDefault="004A3AC6" w:rsidP="00BF4082">
            <w:pPr>
              <w:spacing w:line="276" w:lineRule="auto"/>
              <w:rPr>
                <w:rFonts w:ascii="Times New Roman" w:hAnsi="Times New Roman" w:cs="Times New Roman"/>
                <w:color w:val="000000" w:themeColor="text1"/>
                <w:lang w:val="ro-MD"/>
              </w:rPr>
            </w:pPr>
          </w:p>
        </w:tc>
        <w:tc>
          <w:tcPr>
            <w:tcW w:w="1261" w:type="pct"/>
          </w:tcPr>
          <w:p w14:paraId="437FEB9E" w14:textId="77777777" w:rsidR="004A3AC6" w:rsidRPr="00C25E6D" w:rsidRDefault="004A3AC6" w:rsidP="00BF4082">
            <w:pPr>
              <w:spacing w:line="276" w:lineRule="auto"/>
              <w:rPr>
                <w:rFonts w:ascii="Times New Roman" w:hAnsi="Times New Roman" w:cs="Times New Roman"/>
                <w:color w:val="000000" w:themeColor="text1"/>
                <w:lang w:val="ro-MD"/>
              </w:rPr>
            </w:pPr>
          </w:p>
        </w:tc>
      </w:tr>
      <w:tr w:rsidR="0087776C" w:rsidRPr="0087776C" w14:paraId="0C156099" w14:textId="77777777" w:rsidTr="006D3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8"/>
        </w:trPr>
        <w:tc>
          <w:tcPr>
            <w:tcW w:w="1597" w:type="pct"/>
          </w:tcPr>
          <w:p w14:paraId="43EE8933" w14:textId="77777777" w:rsidR="0087776C" w:rsidRPr="006315B0" w:rsidRDefault="0087776C" w:rsidP="00B5750B">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(3) Cuantumul brut menționat la alineatul (1) se calculează ca fiind</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cuantumul cel mai mare dintre zero și valoarea de piață a activului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suport</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înmulțită cu suma cerințelor de fonduri proprii privind riscul 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piață specific și general pentru suport minus valoarea profitului, dacă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există, rezultat din executarea instantanee a opțiunii („în bani”), în cazul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în care este îndeplinită una dintre următoarele condiții:</w:t>
            </w:r>
          </w:p>
          <w:p w14:paraId="31122F96" w14:textId="77777777" w:rsidR="0087776C" w:rsidRPr="006315B0" w:rsidRDefault="0087776C" w:rsidP="00B5750B">
            <w:pPr>
              <w:spacing w:line="240" w:lineRule="auto"/>
              <w:jc w:val="both"/>
              <w:rPr>
                <w:rFonts w:ascii="Times New Roman" w:hAnsi="Times New Roman" w:cs="Times New Roman"/>
                <w:color w:val="000000" w:themeColor="text1"/>
                <w:lang w:val="ro-MD"/>
              </w:rPr>
            </w:pPr>
            <w:r w:rsidRPr="00DB7F41">
              <w:rPr>
                <w:rFonts w:ascii="Times New Roman" w:hAnsi="Times New Roman" w:cs="Times New Roman"/>
                <w:color w:val="000000" w:themeColor="text1"/>
                <w:lang w:val="ro-MD"/>
              </w:rPr>
              <w:t xml:space="preserve">(a) opțiunea sau </w:t>
            </w:r>
            <w:proofErr w:type="spellStart"/>
            <w:r w:rsidRPr="00DB7F41">
              <w:rPr>
                <w:rFonts w:ascii="Times New Roman" w:hAnsi="Times New Roman" w:cs="Times New Roman"/>
                <w:color w:val="000000" w:themeColor="text1"/>
                <w:lang w:val="ro-MD"/>
              </w:rPr>
              <w:t>warrantul</w:t>
            </w:r>
            <w:proofErr w:type="spellEnd"/>
            <w:r w:rsidRPr="00DB7F41">
              <w:rPr>
                <w:rFonts w:ascii="Times New Roman" w:hAnsi="Times New Roman" w:cs="Times New Roman"/>
                <w:color w:val="000000" w:themeColor="text1"/>
                <w:lang w:val="ro-MD"/>
              </w:rPr>
              <w:t xml:space="preserve"> include dreptul de a vinde activul-suport („</w:t>
            </w:r>
            <w:proofErr w:type="spellStart"/>
            <w:r w:rsidRPr="00DB7F41">
              <w:rPr>
                <w:rFonts w:ascii="Times New Roman" w:hAnsi="Times New Roman" w:cs="Times New Roman"/>
                <w:color w:val="000000" w:themeColor="text1"/>
                <w:lang w:val="ro-MD"/>
              </w:rPr>
              <w:t>long</w:t>
            </w:r>
            <w:proofErr w:type="spellEnd"/>
            <w:r w:rsidRPr="00DB7F41">
              <w:rPr>
                <w:rFonts w:ascii="Times New Roman" w:hAnsi="Times New Roman" w:cs="Times New Roman"/>
                <w:color w:val="000000" w:themeColor="text1"/>
                <w:lang w:val="ro-MD"/>
              </w:rPr>
              <w:t xml:space="preserve"> put”) și se combină cu deținerile din activul-suport („poziție lungă în </w:t>
            </w:r>
            <w:proofErr w:type="spellStart"/>
            <w:r w:rsidRPr="00DB7F41">
              <w:rPr>
                <w:rFonts w:ascii="Times New Roman" w:hAnsi="Times New Roman" w:cs="Times New Roman"/>
                <w:color w:val="000000" w:themeColor="text1"/>
                <w:lang w:val="ro-MD"/>
              </w:rPr>
              <w:t>instrumentulsuport</w:t>
            </w:r>
            <w:proofErr w:type="spellEnd"/>
            <w:r w:rsidRPr="00DB7F41">
              <w:rPr>
                <w:rFonts w:ascii="Times New Roman" w:hAnsi="Times New Roman" w:cs="Times New Roman"/>
                <w:color w:val="000000" w:themeColor="text1"/>
                <w:lang w:val="ro-MD"/>
              </w:rPr>
              <w:t>”);</w:t>
            </w:r>
          </w:p>
          <w:p w14:paraId="70E91221" w14:textId="21B860F7" w:rsidR="0087776C" w:rsidRPr="006315B0" w:rsidRDefault="0087776C" w:rsidP="00B5750B">
            <w:pPr>
              <w:spacing w:line="240" w:lineRule="auto"/>
              <w:jc w:val="both"/>
              <w:rPr>
                <w:rFonts w:ascii="Times New Roman" w:hAnsi="Times New Roman" w:cs="Times New Roman"/>
                <w:color w:val="000000" w:themeColor="text1"/>
                <w:lang w:val="ro-MD"/>
              </w:rPr>
            </w:pPr>
            <w:r w:rsidRPr="00DB7F41">
              <w:rPr>
                <w:rFonts w:ascii="Times New Roman" w:hAnsi="Times New Roman" w:cs="Times New Roman"/>
                <w:color w:val="000000" w:themeColor="text1"/>
                <w:lang w:val="ro-MD"/>
              </w:rPr>
              <w:t xml:space="preserve">(b) opțiunea sau </w:t>
            </w:r>
            <w:proofErr w:type="spellStart"/>
            <w:r w:rsidRPr="00DB7F41">
              <w:rPr>
                <w:rFonts w:ascii="Times New Roman" w:hAnsi="Times New Roman" w:cs="Times New Roman"/>
                <w:color w:val="000000" w:themeColor="text1"/>
                <w:lang w:val="ro-MD"/>
              </w:rPr>
              <w:t>warrantul</w:t>
            </w:r>
            <w:proofErr w:type="spellEnd"/>
            <w:r w:rsidRPr="00DB7F41">
              <w:rPr>
                <w:rFonts w:ascii="Times New Roman" w:hAnsi="Times New Roman" w:cs="Times New Roman"/>
                <w:color w:val="000000" w:themeColor="text1"/>
                <w:lang w:val="ro-MD"/>
              </w:rPr>
              <w:t xml:space="preserve"> include dreptul de a cumpăra activul-suport („</w:t>
            </w:r>
            <w:proofErr w:type="spellStart"/>
            <w:r w:rsidRPr="00DB7F41">
              <w:rPr>
                <w:rFonts w:ascii="Times New Roman" w:hAnsi="Times New Roman" w:cs="Times New Roman"/>
                <w:color w:val="000000" w:themeColor="text1"/>
                <w:lang w:val="ro-MD"/>
              </w:rPr>
              <w:t>long</w:t>
            </w:r>
            <w:proofErr w:type="spellEnd"/>
            <w:r w:rsidRPr="00DB7F41">
              <w:rPr>
                <w:rFonts w:ascii="Times New Roman" w:hAnsi="Times New Roman" w:cs="Times New Roman"/>
                <w:color w:val="000000" w:themeColor="text1"/>
                <w:lang w:val="ro-MD"/>
              </w:rPr>
              <w:t xml:space="preserve"> </w:t>
            </w:r>
            <w:proofErr w:type="spellStart"/>
            <w:r w:rsidRPr="00DB7F41">
              <w:rPr>
                <w:rFonts w:ascii="Times New Roman" w:hAnsi="Times New Roman" w:cs="Times New Roman"/>
                <w:color w:val="000000" w:themeColor="text1"/>
                <w:lang w:val="ro-MD"/>
              </w:rPr>
              <w:t>call</w:t>
            </w:r>
            <w:proofErr w:type="spellEnd"/>
            <w:r w:rsidRPr="00DB7F41">
              <w:rPr>
                <w:rFonts w:ascii="Times New Roman" w:hAnsi="Times New Roman" w:cs="Times New Roman"/>
                <w:color w:val="000000" w:themeColor="text1"/>
                <w:lang w:val="ro-MD"/>
              </w:rPr>
              <w:t xml:space="preserve">”) și se combină cu promisiunea de a vinde deținerile din </w:t>
            </w:r>
            <w:proofErr w:type="spellStart"/>
            <w:r w:rsidRPr="00DB7F41">
              <w:rPr>
                <w:rFonts w:ascii="Times New Roman" w:hAnsi="Times New Roman" w:cs="Times New Roman"/>
                <w:color w:val="000000" w:themeColor="text1"/>
                <w:lang w:val="ro-MD"/>
              </w:rPr>
              <w:t>instrumentulsuport</w:t>
            </w:r>
            <w:proofErr w:type="spellEnd"/>
            <w:r w:rsidRPr="00DB7F41">
              <w:rPr>
                <w:rFonts w:ascii="Times New Roman" w:hAnsi="Times New Roman" w:cs="Times New Roman"/>
                <w:color w:val="000000" w:themeColor="text1"/>
                <w:lang w:val="ro-MD"/>
              </w:rPr>
              <w:t xml:space="preserve"> („poziție scurtă în activul-suport”).</w:t>
            </w:r>
          </w:p>
        </w:tc>
        <w:tc>
          <w:tcPr>
            <w:tcW w:w="1692" w:type="pct"/>
          </w:tcPr>
          <w:p w14:paraId="14998221" w14:textId="31479FE8" w:rsidR="0087776C" w:rsidRPr="006315B0" w:rsidRDefault="0087776C" w:rsidP="00B5750B">
            <w:pPr>
              <w:spacing w:line="240" w:lineRule="auto"/>
              <w:jc w:val="both"/>
              <w:rPr>
                <w:rFonts w:ascii="Times New Roman" w:hAnsi="Times New Roman" w:cs="Times New Roman"/>
                <w:color w:val="000000" w:themeColor="text1"/>
                <w:lang w:val="ro-MD"/>
              </w:rPr>
            </w:pPr>
            <w:bookmarkStart w:id="13" w:name="_Hlk224659494"/>
            <w:r>
              <w:rPr>
                <w:rFonts w:ascii="Times New Roman" w:hAnsi="Times New Roman" w:cs="Times New Roman"/>
                <w:color w:val="000000" w:themeColor="text1"/>
                <w:lang w:val="ro-MD"/>
              </w:rPr>
              <w:t>7.</w:t>
            </w:r>
            <w:r w:rsidRPr="006315B0">
              <w:rPr>
                <w:rFonts w:ascii="Times New Roman" w:hAnsi="Times New Roman" w:cs="Times New Roman"/>
                <w:color w:val="000000" w:themeColor="text1"/>
                <w:lang w:val="ro-MD"/>
              </w:rPr>
              <w:t xml:space="preserve"> Cuantumul brut menționat la </w:t>
            </w:r>
            <w:r>
              <w:rPr>
                <w:rFonts w:ascii="Times New Roman" w:hAnsi="Times New Roman" w:cs="Times New Roman"/>
                <w:color w:val="000000" w:themeColor="text1"/>
                <w:lang w:val="ro-MD"/>
              </w:rPr>
              <w:t>pct.5</w:t>
            </w:r>
            <w:r w:rsidRPr="006315B0">
              <w:rPr>
                <w:rFonts w:ascii="Times New Roman" w:hAnsi="Times New Roman" w:cs="Times New Roman"/>
                <w:color w:val="000000" w:themeColor="text1"/>
                <w:lang w:val="ro-MD"/>
              </w:rPr>
              <w:t xml:space="preserve"> se calculează ca fiind</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cuantumul cel mai mare dintre zero și valoarea de piață a activului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suport</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înmulțită cu suma cerințelor de fonduri proprii privind riscul 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piață specific și general pentru suport minus valoarea profitului, dacă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există, rezultat din executarea instantanee a opțiunii („în bani”), în cazul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în care este îndeplinită una dintre următoarele condiții:</w:t>
            </w:r>
          </w:p>
          <w:p w14:paraId="6021DCFD" w14:textId="23CE5C7A" w:rsidR="0087776C" w:rsidRPr="006315B0" w:rsidRDefault="0087776C" w:rsidP="00B5750B">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7.1.</w:t>
            </w:r>
            <w:r w:rsidRPr="00DB7F41">
              <w:rPr>
                <w:rFonts w:ascii="Times New Roman" w:hAnsi="Times New Roman" w:cs="Times New Roman"/>
                <w:color w:val="000000" w:themeColor="text1"/>
                <w:lang w:val="ro-MD"/>
              </w:rPr>
              <w:t xml:space="preserve"> opțiunea sau </w:t>
            </w:r>
            <w:proofErr w:type="spellStart"/>
            <w:r w:rsidRPr="00DB7F41">
              <w:rPr>
                <w:rFonts w:ascii="Times New Roman" w:hAnsi="Times New Roman" w:cs="Times New Roman"/>
                <w:color w:val="000000" w:themeColor="text1"/>
                <w:lang w:val="ro-MD"/>
              </w:rPr>
              <w:t>warrantul</w:t>
            </w:r>
            <w:proofErr w:type="spellEnd"/>
            <w:r w:rsidRPr="00DB7F41">
              <w:rPr>
                <w:rFonts w:ascii="Times New Roman" w:hAnsi="Times New Roman" w:cs="Times New Roman"/>
                <w:color w:val="000000" w:themeColor="text1"/>
                <w:lang w:val="ro-MD"/>
              </w:rPr>
              <w:t xml:space="preserve"> include dreptul de a vinde activul-suport („</w:t>
            </w:r>
            <w:proofErr w:type="spellStart"/>
            <w:r w:rsidRPr="00DB7F41">
              <w:rPr>
                <w:rFonts w:ascii="Times New Roman" w:hAnsi="Times New Roman" w:cs="Times New Roman"/>
                <w:color w:val="000000" w:themeColor="text1"/>
                <w:lang w:val="ro-MD"/>
              </w:rPr>
              <w:t>long</w:t>
            </w:r>
            <w:proofErr w:type="spellEnd"/>
            <w:r w:rsidRPr="00DB7F41">
              <w:rPr>
                <w:rFonts w:ascii="Times New Roman" w:hAnsi="Times New Roman" w:cs="Times New Roman"/>
                <w:color w:val="000000" w:themeColor="text1"/>
                <w:lang w:val="ro-MD"/>
              </w:rPr>
              <w:t xml:space="preserve"> put”) și se combină cu deținerile din activul-suport („poziție lungă în instrumentul</w:t>
            </w:r>
            <w:r>
              <w:rPr>
                <w:rFonts w:ascii="Times New Roman" w:hAnsi="Times New Roman" w:cs="Times New Roman"/>
                <w:color w:val="000000" w:themeColor="text1"/>
                <w:lang w:val="ro-MD"/>
              </w:rPr>
              <w:t xml:space="preserve"> </w:t>
            </w:r>
            <w:r w:rsidRPr="00DB7F41">
              <w:rPr>
                <w:rFonts w:ascii="Times New Roman" w:hAnsi="Times New Roman" w:cs="Times New Roman"/>
                <w:color w:val="000000" w:themeColor="text1"/>
                <w:lang w:val="ro-MD"/>
              </w:rPr>
              <w:t>suport”);</w:t>
            </w:r>
          </w:p>
          <w:p w14:paraId="38695D3F" w14:textId="3EBE7BF4" w:rsidR="0087776C" w:rsidRPr="006315B0" w:rsidRDefault="0087776C" w:rsidP="00B5750B">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7.2.</w:t>
            </w:r>
            <w:r w:rsidRPr="00DB7F41">
              <w:rPr>
                <w:rFonts w:ascii="Times New Roman" w:hAnsi="Times New Roman" w:cs="Times New Roman"/>
                <w:color w:val="000000" w:themeColor="text1"/>
                <w:lang w:val="ro-MD"/>
              </w:rPr>
              <w:t xml:space="preserve"> opțiunea sau </w:t>
            </w:r>
            <w:proofErr w:type="spellStart"/>
            <w:r w:rsidRPr="00DB7F41">
              <w:rPr>
                <w:rFonts w:ascii="Times New Roman" w:hAnsi="Times New Roman" w:cs="Times New Roman"/>
                <w:color w:val="000000" w:themeColor="text1"/>
                <w:lang w:val="ro-MD"/>
              </w:rPr>
              <w:t>warrantul</w:t>
            </w:r>
            <w:proofErr w:type="spellEnd"/>
            <w:r w:rsidRPr="00DB7F41">
              <w:rPr>
                <w:rFonts w:ascii="Times New Roman" w:hAnsi="Times New Roman" w:cs="Times New Roman"/>
                <w:color w:val="000000" w:themeColor="text1"/>
                <w:lang w:val="ro-MD"/>
              </w:rPr>
              <w:t xml:space="preserve"> include dreptul de a cumpăra activul-suport („</w:t>
            </w:r>
            <w:proofErr w:type="spellStart"/>
            <w:r w:rsidRPr="00DB7F41">
              <w:rPr>
                <w:rFonts w:ascii="Times New Roman" w:hAnsi="Times New Roman" w:cs="Times New Roman"/>
                <w:color w:val="000000" w:themeColor="text1"/>
                <w:lang w:val="ro-MD"/>
              </w:rPr>
              <w:t>long</w:t>
            </w:r>
            <w:proofErr w:type="spellEnd"/>
            <w:r w:rsidRPr="00DB7F41">
              <w:rPr>
                <w:rFonts w:ascii="Times New Roman" w:hAnsi="Times New Roman" w:cs="Times New Roman"/>
                <w:color w:val="000000" w:themeColor="text1"/>
                <w:lang w:val="ro-MD"/>
              </w:rPr>
              <w:t xml:space="preserve"> </w:t>
            </w:r>
            <w:proofErr w:type="spellStart"/>
            <w:r w:rsidRPr="00DB7F41">
              <w:rPr>
                <w:rFonts w:ascii="Times New Roman" w:hAnsi="Times New Roman" w:cs="Times New Roman"/>
                <w:color w:val="000000" w:themeColor="text1"/>
                <w:lang w:val="ro-MD"/>
              </w:rPr>
              <w:t>call</w:t>
            </w:r>
            <w:proofErr w:type="spellEnd"/>
            <w:r w:rsidRPr="00DB7F41">
              <w:rPr>
                <w:rFonts w:ascii="Times New Roman" w:hAnsi="Times New Roman" w:cs="Times New Roman"/>
                <w:color w:val="000000" w:themeColor="text1"/>
                <w:lang w:val="ro-MD"/>
              </w:rPr>
              <w:t>”) și se combină cu promisiunea de a vinde deținerile din instrumentul</w:t>
            </w:r>
            <w:r>
              <w:rPr>
                <w:rFonts w:ascii="Times New Roman" w:hAnsi="Times New Roman" w:cs="Times New Roman"/>
                <w:color w:val="000000" w:themeColor="text1"/>
                <w:lang w:val="ro-MD"/>
              </w:rPr>
              <w:t xml:space="preserve"> </w:t>
            </w:r>
            <w:r w:rsidRPr="00DB7F41">
              <w:rPr>
                <w:rFonts w:ascii="Times New Roman" w:hAnsi="Times New Roman" w:cs="Times New Roman"/>
                <w:color w:val="000000" w:themeColor="text1"/>
                <w:lang w:val="ro-MD"/>
              </w:rPr>
              <w:t>suport („poziție scurtă în activul-suport”).</w:t>
            </w:r>
            <w:bookmarkEnd w:id="13"/>
          </w:p>
        </w:tc>
        <w:tc>
          <w:tcPr>
            <w:tcW w:w="450" w:type="pct"/>
          </w:tcPr>
          <w:p w14:paraId="1DF35067" w14:textId="77777777" w:rsidR="00CF31B6" w:rsidRPr="00C25E6D" w:rsidRDefault="00CF31B6" w:rsidP="00CF31B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3D2B0B09" w14:textId="77777777" w:rsidR="0087776C" w:rsidRPr="00C25E6D" w:rsidRDefault="0087776C" w:rsidP="00B5750B">
            <w:pPr>
              <w:spacing w:line="276" w:lineRule="auto"/>
              <w:rPr>
                <w:rFonts w:ascii="Times New Roman" w:hAnsi="Times New Roman" w:cs="Times New Roman"/>
                <w:color w:val="000000" w:themeColor="text1"/>
                <w:lang w:val="ro-MD"/>
              </w:rPr>
            </w:pPr>
          </w:p>
        </w:tc>
        <w:tc>
          <w:tcPr>
            <w:tcW w:w="1261" w:type="pct"/>
          </w:tcPr>
          <w:p w14:paraId="3753273F" w14:textId="77777777" w:rsidR="0087776C" w:rsidRPr="00C25E6D" w:rsidRDefault="0087776C" w:rsidP="00B5750B">
            <w:pPr>
              <w:spacing w:line="276" w:lineRule="auto"/>
              <w:rPr>
                <w:rFonts w:ascii="Times New Roman" w:hAnsi="Times New Roman" w:cs="Times New Roman"/>
                <w:color w:val="000000" w:themeColor="text1"/>
                <w:lang w:val="ro-MD"/>
              </w:rPr>
            </w:pPr>
          </w:p>
        </w:tc>
      </w:tr>
      <w:tr w:rsidR="0087776C" w:rsidRPr="0087776C" w14:paraId="238DE223" w14:textId="77777777" w:rsidTr="005C6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2"/>
        </w:trPr>
        <w:tc>
          <w:tcPr>
            <w:tcW w:w="1597" w:type="pct"/>
          </w:tcPr>
          <w:p w14:paraId="7771681D" w14:textId="77777777" w:rsidR="0087776C" w:rsidRPr="006315B0" w:rsidRDefault="0087776C" w:rsidP="00B5750B">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 xml:space="preserve">(4) În cazul în care opțiunea sau </w:t>
            </w:r>
            <w:proofErr w:type="spellStart"/>
            <w:r w:rsidRPr="006315B0">
              <w:rPr>
                <w:rFonts w:ascii="Times New Roman" w:hAnsi="Times New Roman" w:cs="Times New Roman"/>
                <w:color w:val="000000" w:themeColor="text1"/>
                <w:lang w:val="ro-MD"/>
              </w:rPr>
              <w:t>warrantul</w:t>
            </w:r>
            <w:proofErr w:type="spellEnd"/>
            <w:r w:rsidRPr="006315B0">
              <w:rPr>
                <w:rFonts w:ascii="Times New Roman" w:hAnsi="Times New Roman" w:cs="Times New Roman"/>
                <w:color w:val="000000" w:themeColor="text1"/>
                <w:lang w:val="ro-MD"/>
              </w:rPr>
              <w:t xml:space="preserve"> include dreptul de 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cumpăra activul-suport („</w:t>
            </w:r>
            <w:proofErr w:type="spellStart"/>
            <w:r w:rsidRPr="006315B0">
              <w:rPr>
                <w:rFonts w:ascii="Times New Roman" w:hAnsi="Times New Roman" w:cs="Times New Roman"/>
                <w:color w:val="000000" w:themeColor="text1"/>
                <w:lang w:val="ro-MD"/>
              </w:rPr>
              <w:t>long</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sau dreptul de a vinde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activul-suport („</w:t>
            </w:r>
            <w:proofErr w:type="spellStart"/>
            <w:r w:rsidRPr="006315B0">
              <w:rPr>
                <w:rFonts w:ascii="Times New Roman" w:hAnsi="Times New Roman" w:cs="Times New Roman"/>
                <w:color w:val="000000" w:themeColor="text1"/>
                <w:lang w:val="ro-MD"/>
              </w:rPr>
              <w:t>long</w:t>
            </w:r>
            <w:proofErr w:type="spellEnd"/>
            <w:r w:rsidRPr="006315B0">
              <w:rPr>
                <w:rFonts w:ascii="Times New Roman" w:hAnsi="Times New Roman" w:cs="Times New Roman"/>
                <w:color w:val="000000" w:themeColor="text1"/>
                <w:lang w:val="ro-MD"/>
              </w:rPr>
              <w:t xml:space="preserve"> put”), cuantumul brut menționat la alineatul (1)</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este cuantumul cel mai mic dintre următoarele două cuantumuri:</w:t>
            </w:r>
          </w:p>
          <w:p w14:paraId="54B4296E" w14:textId="77777777" w:rsidR="0087776C" w:rsidRPr="006315B0" w:rsidRDefault="0087776C" w:rsidP="00B5750B">
            <w:pPr>
              <w:spacing w:line="240" w:lineRule="auto"/>
              <w:jc w:val="both"/>
              <w:rPr>
                <w:rFonts w:ascii="Times New Roman" w:hAnsi="Times New Roman" w:cs="Times New Roman"/>
                <w:color w:val="000000" w:themeColor="text1"/>
                <w:lang w:val="ro-MD"/>
              </w:rPr>
            </w:pPr>
            <w:r w:rsidRPr="001858EC">
              <w:rPr>
                <w:rFonts w:ascii="Times New Roman" w:hAnsi="Times New Roman" w:cs="Times New Roman"/>
                <w:color w:val="000000" w:themeColor="text1"/>
                <w:lang w:val="ro-MD"/>
              </w:rPr>
              <w:t>(a) valoarea de piață a activului-suport înmulțită cu suma cerințelor specifice și generale privind riscul de piață pentru activul-suport;</w:t>
            </w:r>
          </w:p>
          <w:p w14:paraId="24DB1AAB" w14:textId="1EA63568" w:rsidR="0087776C" w:rsidRPr="006315B0" w:rsidRDefault="0087776C" w:rsidP="00B5750B">
            <w:pPr>
              <w:spacing w:line="240" w:lineRule="auto"/>
              <w:jc w:val="both"/>
              <w:rPr>
                <w:rFonts w:ascii="Times New Roman" w:hAnsi="Times New Roman" w:cs="Times New Roman"/>
                <w:color w:val="000000" w:themeColor="text1"/>
                <w:lang w:val="ro-MD"/>
              </w:rPr>
            </w:pPr>
            <w:r w:rsidRPr="001858EC">
              <w:rPr>
                <w:rFonts w:ascii="Times New Roman" w:hAnsi="Times New Roman" w:cs="Times New Roman"/>
                <w:color w:val="000000" w:themeColor="text1"/>
                <w:lang w:val="ro-MD"/>
              </w:rPr>
              <w:t>(b) valoarea poziției determinate prin metoda marcării la piață sau prin metoda marcării la model, astfel cum se prevede la articolul 104 alineatul (2) literele (b) și (c) din Regulamentul (UE) nr. 575/2013 („valoarea de piață a opțiunii sau a warantului”).</w:t>
            </w:r>
          </w:p>
        </w:tc>
        <w:tc>
          <w:tcPr>
            <w:tcW w:w="1692" w:type="pct"/>
          </w:tcPr>
          <w:p w14:paraId="1F43B8A5" w14:textId="6C0C6E94" w:rsidR="0087776C" w:rsidRPr="006315B0" w:rsidRDefault="0087776C" w:rsidP="00B5750B">
            <w:pPr>
              <w:spacing w:line="240" w:lineRule="auto"/>
              <w:jc w:val="both"/>
              <w:rPr>
                <w:rFonts w:ascii="Times New Roman" w:hAnsi="Times New Roman" w:cs="Times New Roman"/>
                <w:color w:val="000000" w:themeColor="text1"/>
                <w:lang w:val="ro-MD"/>
              </w:rPr>
            </w:pPr>
            <w:bookmarkStart w:id="14" w:name="_Hlk224659516"/>
            <w:r>
              <w:rPr>
                <w:rFonts w:ascii="Times New Roman" w:hAnsi="Times New Roman" w:cs="Times New Roman"/>
                <w:color w:val="000000" w:themeColor="text1"/>
                <w:lang w:val="ro-MD"/>
              </w:rPr>
              <w:t>8.</w:t>
            </w:r>
            <w:r w:rsidRPr="006315B0">
              <w:rPr>
                <w:rFonts w:ascii="Times New Roman" w:hAnsi="Times New Roman" w:cs="Times New Roman"/>
                <w:color w:val="000000" w:themeColor="text1"/>
                <w:lang w:val="ro-MD"/>
              </w:rPr>
              <w:t xml:space="preserve"> În cazul în care opțiunea sau </w:t>
            </w:r>
            <w:proofErr w:type="spellStart"/>
            <w:r w:rsidRPr="006315B0">
              <w:rPr>
                <w:rFonts w:ascii="Times New Roman" w:hAnsi="Times New Roman" w:cs="Times New Roman"/>
                <w:color w:val="000000" w:themeColor="text1"/>
                <w:lang w:val="ro-MD"/>
              </w:rPr>
              <w:t>warrantul</w:t>
            </w:r>
            <w:proofErr w:type="spellEnd"/>
            <w:r w:rsidRPr="006315B0">
              <w:rPr>
                <w:rFonts w:ascii="Times New Roman" w:hAnsi="Times New Roman" w:cs="Times New Roman"/>
                <w:color w:val="000000" w:themeColor="text1"/>
                <w:lang w:val="ro-MD"/>
              </w:rPr>
              <w:t xml:space="preserve"> include dreptul de 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cumpăra activul-suport („</w:t>
            </w:r>
            <w:proofErr w:type="spellStart"/>
            <w:r w:rsidRPr="006315B0">
              <w:rPr>
                <w:rFonts w:ascii="Times New Roman" w:hAnsi="Times New Roman" w:cs="Times New Roman"/>
                <w:color w:val="000000" w:themeColor="text1"/>
                <w:lang w:val="ro-MD"/>
              </w:rPr>
              <w:t>long</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call</w:t>
            </w:r>
            <w:proofErr w:type="spellEnd"/>
            <w:r w:rsidRPr="006315B0">
              <w:rPr>
                <w:rFonts w:ascii="Times New Roman" w:hAnsi="Times New Roman" w:cs="Times New Roman"/>
                <w:color w:val="000000" w:themeColor="text1"/>
                <w:lang w:val="ro-MD"/>
              </w:rPr>
              <w:t>”) sau dreptul de a vinde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activul-suport („</w:t>
            </w:r>
            <w:proofErr w:type="spellStart"/>
            <w:r w:rsidRPr="006315B0">
              <w:rPr>
                <w:rFonts w:ascii="Times New Roman" w:hAnsi="Times New Roman" w:cs="Times New Roman"/>
                <w:color w:val="000000" w:themeColor="text1"/>
                <w:lang w:val="ro-MD"/>
              </w:rPr>
              <w:t>long</w:t>
            </w:r>
            <w:proofErr w:type="spellEnd"/>
            <w:r w:rsidRPr="006315B0">
              <w:rPr>
                <w:rFonts w:ascii="Times New Roman" w:hAnsi="Times New Roman" w:cs="Times New Roman"/>
                <w:color w:val="000000" w:themeColor="text1"/>
                <w:lang w:val="ro-MD"/>
              </w:rPr>
              <w:t xml:space="preserve"> put”), cuantumul brut menționat la </w:t>
            </w:r>
            <w:r>
              <w:rPr>
                <w:rFonts w:ascii="Times New Roman" w:hAnsi="Times New Roman" w:cs="Times New Roman"/>
                <w:color w:val="000000" w:themeColor="text1"/>
                <w:lang w:val="ro-MD"/>
              </w:rPr>
              <w:t xml:space="preserve">pct.5 </w:t>
            </w:r>
            <w:r w:rsidRPr="006315B0">
              <w:rPr>
                <w:rFonts w:ascii="Times New Roman" w:hAnsi="Times New Roman" w:cs="Times New Roman"/>
                <w:color w:val="000000" w:themeColor="text1"/>
                <w:lang w:val="ro-MD"/>
              </w:rPr>
              <w:t>este cuantumul cel mai mic dintre următoarele două cuantumuri:</w:t>
            </w:r>
          </w:p>
          <w:p w14:paraId="5FF6AD3F" w14:textId="33FB0A91" w:rsidR="0087776C" w:rsidRPr="006315B0" w:rsidRDefault="0087776C" w:rsidP="00B5750B">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8.1.</w:t>
            </w:r>
            <w:r w:rsidRPr="001858EC">
              <w:rPr>
                <w:rFonts w:ascii="Times New Roman" w:hAnsi="Times New Roman" w:cs="Times New Roman"/>
                <w:color w:val="000000" w:themeColor="text1"/>
                <w:lang w:val="ro-MD"/>
              </w:rPr>
              <w:t xml:space="preserve"> valoarea de piață a activului-suport înmulțită cu suma cerințelor specifice și generale privind riscul de piață pentru activul-suport;</w:t>
            </w:r>
          </w:p>
          <w:p w14:paraId="049AEA04" w14:textId="365BA9A9" w:rsidR="0087776C" w:rsidRPr="006315B0" w:rsidRDefault="0087776C" w:rsidP="00B5750B">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8.2.</w:t>
            </w:r>
            <w:r w:rsidRPr="001858EC">
              <w:rPr>
                <w:rFonts w:ascii="Times New Roman" w:hAnsi="Times New Roman" w:cs="Times New Roman"/>
                <w:color w:val="000000" w:themeColor="text1"/>
                <w:lang w:val="ro-MD"/>
              </w:rPr>
              <w:t xml:space="preserve"> valoarea poziției determinate prin metoda marcării la piață sau prin metoda marcării la model, astfel cum se prevede la </w:t>
            </w:r>
            <w:r>
              <w:rPr>
                <w:rFonts w:ascii="Times New Roman" w:hAnsi="Times New Roman" w:cs="Times New Roman"/>
                <w:color w:val="000000" w:themeColor="text1"/>
                <w:lang w:val="ro-MD"/>
              </w:rPr>
              <w:t xml:space="preserve">subpct.16.2 și 16.3 din Regulamentul </w:t>
            </w:r>
            <w:proofErr w:type="spellStart"/>
            <w:r>
              <w:rPr>
                <w:rFonts w:ascii="Times New Roman" w:hAnsi="Times New Roman" w:cs="Times New Roman"/>
                <w:color w:val="000000" w:themeColor="text1"/>
                <w:lang w:val="ro-MD"/>
              </w:rPr>
              <w:t>nr.XX</w:t>
            </w:r>
            <w:proofErr w:type="spellEnd"/>
            <w:r>
              <w:rPr>
                <w:rFonts w:ascii="Times New Roman" w:hAnsi="Times New Roman" w:cs="Times New Roman"/>
                <w:color w:val="000000" w:themeColor="text1"/>
                <w:lang w:val="ro-MD"/>
              </w:rPr>
              <w:t>/</w:t>
            </w:r>
            <w:r w:rsidRPr="00222DAD">
              <w:rPr>
                <w:rFonts w:ascii="Times New Roman" w:hAnsi="Times New Roman" w:cs="Times New Roman"/>
                <w:color w:val="000000" w:themeColor="text1"/>
                <w:lang w:val="ro-MD"/>
              </w:rPr>
              <w:t>2026</w:t>
            </w:r>
            <w:r w:rsidRPr="001858EC">
              <w:rPr>
                <w:rFonts w:ascii="Times New Roman" w:hAnsi="Times New Roman" w:cs="Times New Roman"/>
                <w:color w:val="000000" w:themeColor="text1"/>
                <w:lang w:val="ro-MD"/>
              </w:rPr>
              <w:t xml:space="preserve"> („valoarea de piață a opțiunii sau a warantului”).</w:t>
            </w:r>
            <w:bookmarkEnd w:id="14"/>
          </w:p>
        </w:tc>
        <w:tc>
          <w:tcPr>
            <w:tcW w:w="450" w:type="pct"/>
          </w:tcPr>
          <w:p w14:paraId="73ECC917"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46105167" w14:textId="77777777" w:rsidR="0087776C" w:rsidRPr="00C25E6D" w:rsidRDefault="0087776C" w:rsidP="00B5750B">
            <w:pPr>
              <w:spacing w:line="276" w:lineRule="auto"/>
              <w:rPr>
                <w:rFonts w:ascii="Times New Roman" w:hAnsi="Times New Roman" w:cs="Times New Roman"/>
                <w:color w:val="000000" w:themeColor="text1"/>
                <w:lang w:val="ro-MD"/>
              </w:rPr>
            </w:pPr>
          </w:p>
        </w:tc>
        <w:tc>
          <w:tcPr>
            <w:tcW w:w="1261" w:type="pct"/>
          </w:tcPr>
          <w:p w14:paraId="7B0FADDD" w14:textId="77777777" w:rsidR="0087776C" w:rsidRPr="00C25E6D" w:rsidRDefault="0087776C" w:rsidP="00B5750B">
            <w:pPr>
              <w:spacing w:line="276" w:lineRule="auto"/>
              <w:rPr>
                <w:rFonts w:ascii="Times New Roman" w:hAnsi="Times New Roman" w:cs="Times New Roman"/>
                <w:color w:val="000000" w:themeColor="text1"/>
                <w:lang w:val="ro-MD"/>
              </w:rPr>
            </w:pPr>
          </w:p>
        </w:tc>
      </w:tr>
      <w:tr w:rsidR="006315B0" w:rsidRPr="008D74CE" w14:paraId="3D6AC4DC"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2A62B8B" w14:textId="48471EA6" w:rsidR="006315B0" w:rsidRPr="006315B0" w:rsidRDefault="006315B0" w:rsidP="00B5750B">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(5) Pentru toate tipurile de opțiuni sau de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care nu prezintă</w:t>
            </w:r>
            <w:r w:rsidR="00B5750B">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caracteristicile menționate la alineatul (2), cuantumul brut menționat la</w:t>
            </w:r>
            <w:r w:rsidR="00B5750B">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alineatul (1) este valoarea de piață a opțiunii sau a </w:t>
            </w:r>
            <w:proofErr w:type="spellStart"/>
            <w:r w:rsidRPr="006315B0">
              <w:rPr>
                <w:rFonts w:ascii="Times New Roman" w:hAnsi="Times New Roman" w:cs="Times New Roman"/>
                <w:color w:val="000000" w:themeColor="text1"/>
                <w:lang w:val="ro-MD"/>
              </w:rPr>
              <w:t>warrantului</w:t>
            </w:r>
            <w:proofErr w:type="spellEnd"/>
            <w:r w:rsidRPr="006315B0">
              <w:rPr>
                <w:rFonts w:ascii="Times New Roman" w:hAnsi="Times New Roman" w:cs="Times New Roman"/>
                <w:color w:val="000000" w:themeColor="text1"/>
                <w:lang w:val="ro-MD"/>
              </w:rPr>
              <w:t>.</w:t>
            </w:r>
          </w:p>
        </w:tc>
        <w:tc>
          <w:tcPr>
            <w:tcW w:w="1692" w:type="pct"/>
          </w:tcPr>
          <w:p w14:paraId="5BE12C4A" w14:textId="6BE1ABF7" w:rsidR="006315B0" w:rsidRPr="006315B0" w:rsidRDefault="00391AE1" w:rsidP="00B5750B">
            <w:pPr>
              <w:spacing w:line="240" w:lineRule="auto"/>
              <w:jc w:val="both"/>
              <w:rPr>
                <w:rFonts w:ascii="Times New Roman" w:hAnsi="Times New Roman" w:cs="Times New Roman"/>
                <w:color w:val="000000" w:themeColor="text1"/>
                <w:lang w:val="ro-MD"/>
              </w:rPr>
            </w:pPr>
            <w:bookmarkStart w:id="15" w:name="_Hlk224659561"/>
            <w:r>
              <w:rPr>
                <w:rFonts w:ascii="Times New Roman" w:hAnsi="Times New Roman" w:cs="Times New Roman"/>
                <w:color w:val="000000" w:themeColor="text1"/>
                <w:lang w:val="ro-MD"/>
              </w:rPr>
              <w:t>9.</w:t>
            </w:r>
            <w:r w:rsidR="00B5750B" w:rsidRPr="00B5750B">
              <w:rPr>
                <w:rFonts w:ascii="Times New Roman" w:hAnsi="Times New Roman" w:cs="Times New Roman"/>
                <w:color w:val="000000" w:themeColor="text1"/>
                <w:lang w:val="ro-MD"/>
              </w:rPr>
              <w:t xml:space="preserve"> Pentru toate tipurile de opțiuni sau de </w:t>
            </w:r>
            <w:proofErr w:type="spellStart"/>
            <w:r w:rsidR="00B5750B" w:rsidRPr="00B5750B">
              <w:rPr>
                <w:rFonts w:ascii="Times New Roman" w:hAnsi="Times New Roman" w:cs="Times New Roman"/>
                <w:color w:val="000000" w:themeColor="text1"/>
                <w:lang w:val="ro-MD"/>
              </w:rPr>
              <w:t>warranturi</w:t>
            </w:r>
            <w:proofErr w:type="spellEnd"/>
            <w:r w:rsidR="00B5750B" w:rsidRPr="00B5750B">
              <w:rPr>
                <w:rFonts w:ascii="Times New Roman" w:hAnsi="Times New Roman" w:cs="Times New Roman"/>
                <w:color w:val="000000" w:themeColor="text1"/>
                <w:lang w:val="ro-MD"/>
              </w:rPr>
              <w:t xml:space="preserve"> care nu prezintă caracteristicile menționate la</w:t>
            </w:r>
            <w:r>
              <w:rPr>
                <w:rFonts w:ascii="Times New Roman" w:hAnsi="Times New Roman" w:cs="Times New Roman"/>
                <w:color w:val="000000" w:themeColor="text1"/>
                <w:lang w:val="ro-MD"/>
              </w:rPr>
              <w:t>pct.6</w:t>
            </w:r>
            <w:r w:rsidR="00B5750B" w:rsidRPr="00B5750B">
              <w:rPr>
                <w:rFonts w:ascii="Times New Roman" w:hAnsi="Times New Roman" w:cs="Times New Roman"/>
                <w:color w:val="000000" w:themeColor="text1"/>
                <w:lang w:val="ro-MD"/>
              </w:rPr>
              <w:t xml:space="preserve">, cuantumul brut menționat la </w:t>
            </w:r>
            <w:r>
              <w:rPr>
                <w:rFonts w:ascii="Times New Roman" w:hAnsi="Times New Roman" w:cs="Times New Roman"/>
                <w:color w:val="000000" w:themeColor="text1"/>
                <w:lang w:val="ro-MD"/>
              </w:rPr>
              <w:t>pct.5</w:t>
            </w:r>
            <w:r w:rsidR="00B5750B" w:rsidRPr="00B5750B">
              <w:rPr>
                <w:rFonts w:ascii="Times New Roman" w:hAnsi="Times New Roman" w:cs="Times New Roman"/>
                <w:color w:val="000000" w:themeColor="text1"/>
                <w:lang w:val="ro-MD"/>
              </w:rPr>
              <w:t xml:space="preserve"> este valoarea de piață a opțiunii sau a </w:t>
            </w:r>
            <w:proofErr w:type="spellStart"/>
            <w:r w:rsidR="00B5750B" w:rsidRPr="00B5750B">
              <w:rPr>
                <w:rFonts w:ascii="Times New Roman" w:hAnsi="Times New Roman" w:cs="Times New Roman"/>
                <w:color w:val="000000" w:themeColor="text1"/>
                <w:lang w:val="ro-MD"/>
              </w:rPr>
              <w:t>warrantului</w:t>
            </w:r>
            <w:proofErr w:type="spellEnd"/>
            <w:r w:rsidR="00B5750B" w:rsidRPr="00B5750B">
              <w:rPr>
                <w:rFonts w:ascii="Times New Roman" w:hAnsi="Times New Roman" w:cs="Times New Roman"/>
                <w:color w:val="000000" w:themeColor="text1"/>
                <w:lang w:val="ro-MD"/>
              </w:rPr>
              <w:t>.</w:t>
            </w:r>
            <w:bookmarkEnd w:id="15"/>
          </w:p>
        </w:tc>
        <w:tc>
          <w:tcPr>
            <w:tcW w:w="450" w:type="pct"/>
          </w:tcPr>
          <w:p w14:paraId="58354DC7"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686D06F2"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39B0599E"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6315B0" w:rsidRPr="00F650AB" w14:paraId="1675F703"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77E0FE6" w14:textId="76129610" w:rsidR="006315B0" w:rsidRPr="00B5750B" w:rsidRDefault="006315B0" w:rsidP="006315B0">
            <w:pPr>
              <w:spacing w:line="276" w:lineRule="auto"/>
              <w:jc w:val="both"/>
              <w:rPr>
                <w:rFonts w:ascii="Times New Roman" w:hAnsi="Times New Roman" w:cs="Times New Roman"/>
                <w:i/>
                <w:iCs/>
                <w:color w:val="000000" w:themeColor="text1"/>
                <w:lang w:val="ro-MD"/>
              </w:rPr>
            </w:pPr>
            <w:r w:rsidRPr="006315B0">
              <w:rPr>
                <w:rFonts w:ascii="Times New Roman" w:hAnsi="Times New Roman" w:cs="Times New Roman"/>
                <w:i/>
                <w:iCs/>
                <w:color w:val="000000" w:themeColor="text1"/>
                <w:lang w:val="ro-MD"/>
              </w:rPr>
              <w:t>Articolul 4</w:t>
            </w:r>
            <w:r w:rsidR="00B5750B">
              <w:rPr>
                <w:rFonts w:ascii="Times New Roman" w:hAnsi="Times New Roman" w:cs="Times New Roman"/>
                <w:i/>
                <w:iCs/>
                <w:color w:val="000000" w:themeColor="text1"/>
                <w:lang w:val="ro-MD"/>
              </w:rPr>
              <w:t xml:space="preserve"> </w:t>
            </w:r>
            <w:r w:rsidRPr="006315B0">
              <w:rPr>
                <w:rFonts w:ascii="Times New Roman" w:hAnsi="Times New Roman" w:cs="Times New Roman"/>
                <w:b/>
                <w:bCs/>
                <w:color w:val="000000" w:themeColor="text1"/>
                <w:lang w:val="ro-MD"/>
              </w:rPr>
              <w:t>Prezentare generală cu privire la determinarea cerințelor de fonduri</w:t>
            </w:r>
            <w:r w:rsidR="00B5750B">
              <w:rPr>
                <w:rFonts w:ascii="Times New Roman" w:hAnsi="Times New Roman" w:cs="Times New Roman"/>
                <w:b/>
                <w:bCs/>
                <w:color w:val="000000" w:themeColor="text1"/>
                <w:lang w:val="ro-MD"/>
              </w:rPr>
              <w:t xml:space="preserve"> </w:t>
            </w:r>
            <w:r w:rsidRPr="006315B0">
              <w:rPr>
                <w:rFonts w:ascii="Times New Roman" w:hAnsi="Times New Roman" w:cs="Times New Roman"/>
                <w:b/>
                <w:bCs/>
                <w:color w:val="000000" w:themeColor="text1"/>
                <w:lang w:val="ro-MD"/>
              </w:rPr>
              <w:t>proprii în conformitate cu abordarea delta-plus</w:t>
            </w:r>
          </w:p>
        </w:tc>
        <w:tc>
          <w:tcPr>
            <w:tcW w:w="1692" w:type="pct"/>
          </w:tcPr>
          <w:p w14:paraId="0A349A10" w14:textId="52A8F69F" w:rsidR="006315B0" w:rsidRPr="006315B0" w:rsidRDefault="0080226E" w:rsidP="006315B0">
            <w:pPr>
              <w:spacing w:line="276" w:lineRule="auto"/>
              <w:jc w:val="both"/>
              <w:rPr>
                <w:rFonts w:ascii="Times New Roman" w:hAnsi="Times New Roman" w:cs="Times New Roman"/>
                <w:color w:val="000000" w:themeColor="text1"/>
                <w:lang w:val="ro-MD"/>
              </w:rPr>
            </w:pPr>
            <w:bookmarkStart w:id="16" w:name="_Hlk224659686"/>
            <w:r>
              <w:rPr>
                <w:rFonts w:ascii="Times New Roman" w:hAnsi="Times New Roman" w:cs="Times New Roman"/>
                <w:i/>
                <w:iCs/>
                <w:color w:val="000000" w:themeColor="text1"/>
                <w:lang w:val="ro-MD"/>
              </w:rPr>
              <w:t>Secțiunea 3.</w:t>
            </w:r>
            <w:r w:rsidR="00A45A84">
              <w:rPr>
                <w:rFonts w:ascii="Times New Roman" w:hAnsi="Times New Roman" w:cs="Times New Roman"/>
                <w:i/>
                <w:iCs/>
                <w:color w:val="000000" w:themeColor="text1"/>
                <w:lang w:val="ro-MD"/>
              </w:rPr>
              <w:t xml:space="preserve"> </w:t>
            </w:r>
            <w:r w:rsidR="00A45A84" w:rsidRPr="006315B0">
              <w:rPr>
                <w:rFonts w:ascii="Times New Roman" w:hAnsi="Times New Roman" w:cs="Times New Roman"/>
                <w:b/>
                <w:bCs/>
                <w:color w:val="000000" w:themeColor="text1"/>
                <w:lang w:val="ro-MD"/>
              </w:rPr>
              <w:t>Prezentare generală cu privire la determinarea cerințelor de fonduri</w:t>
            </w:r>
            <w:r w:rsidR="00A45A84">
              <w:rPr>
                <w:rFonts w:ascii="Times New Roman" w:hAnsi="Times New Roman" w:cs="Times New Roman"/>
                <w:b/>
                <w:bCs/>
                <w:color w:val="000000" w:themeColor="text1"/>
                <w:lang w:val="ro-MD"/>
              </w:rPr>
              <w:t xml:space="preserve"> </w:t>
            </w:r>
            <w:r w:rsidR="00A45A84" w:rsidRPr="006315B0">
              <w:rPr>
                <w:rFonts w:ascii="Times New Roman" w:hAnsi="Times New Roman" w:cs="Times New Roman"/>
                <w:b/>
                <w:bCs/>
                <w:color w:val="000000" w:themeColor="text1"/>
                <w:lang w:val="ro-MD"/>
              </w:rPr>
              <w:t>proprii în conformitate cu abordarea delta-plus</w:t>
            </w:r>
            <w:bookmarkEnd w:id="16"/>
          </w:p>
        </w:tc>
        <w:tc>
          <w:tcPr>
            <w:tcW w:w="450" w:type="pct"/>
          </w:tcPr>
          <w:p w14:paraId="1F07116F"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6D349CF3"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87776C" w:rsidRPr="0087776C" w14:paraId="56DFA632" w14:textId="77777777" w:rsidTr="0090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4"/>
        </w:trPr>
        <w:tc>
          <w:tcPr>
            <w:tcW w:w="1597" w:type="pct"/>
          </w:tcPr>
          <w:p w14:paraId="1D3D6ACB"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(1) În cazul în care instituțiile aleg să aplice abordarea delta-plus</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pentru opțiuni și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al căror gamma este o funcție continuă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prețul suportului și al căror </w:t>
            </w:r>
            <w:proofErr w:type="spellStart"/>
            <w:r w:rsidRPr="006315B0">
              <w:rPr>
                <w:rFonts w:ascii="Times New Roman" w:hAnsi="Times New Roman" w:cs="Times New Roman"/>
                <w:color w:val="000000" w:themeColor="text1"/>
                <w:lang w:val="ro-MD"/>
              </w:rPr>
              <w:t>vega</w:t>
            </w:r>
            <w:proofErr w:type="spellEnd"/>
            <w:r w:rsidRPr="006315B0">
              <w:rPr>
                <w:rFonts w:ascii="Times New Roman" w:hAnsi="Times New Roman" w:cs="Times New Roman"/>
                <w:color w:val="000000" w:themeColor="text1"/>
                <w:lang w:val="ro-MD"/>
              </w:rPr>
              <w:t xml:space="preserve"> este o funcție continuă în volatilitatea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implicită („opțiuni și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continue”), cerințele de fonduri proprii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pentru alte riscuri decât riscul delta privind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se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calculează ca suma următoarelor cerințe:</w:t>
            </w:r>
          </w:p>
          <w:p w14:paraId="5836A890"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3C1766">
              <w:rPr>
                <w:rFonts w:ascii="Times New Roman" w:hAnsi="Times New Roman" w:cs="Times New Roman"/>
                <w:color w:val="000000" w:themeColor="text1"/>
                <w:lang w:val="ro-MD"/>
              </w:rPr>
              <w:t xml:space="preserve">(a) cerințele de fonduri proprii referitoare la derivata parțială a delta în raport cu prețul suportului, care pentru opțiunile sau </w:t>
            </w:r>
            <w:proofErr w:type="spellStart"/>
            <w:r w:rsidRPr="003C1766">
              <w:rPr>
                <w:rFonts w:ascii="Times New Roman" w:hAnsi="Times New Roman" w:cs="Times New Roman"/>
                <w:color w:val="000000" w:themeColor="text1"/>
                <w:lang w:val="ro-MD"/>
              </w:rPr>
              <w:t>warranturile</w:t>
            </w:r>
            <w:proofErr w:type="spellEnd"/>
            <w:r w:rsidRPr="003C1766">
              <w:rPr>
                <w:rFonts w:ascii="Times New Roman" w:hAnsi="Times New Roman" w:cs="Times New Roman"/>
                <w:color w:val="000000" w:themeColor="text1"/>
                <w:lang w:val="ro-MD"/>
              </w:rPr>
              <w:t xml:space="preserve"> pe obligațiuni este derivata parțială a delta în raport cu randamentul-la</w:t>
            </w:r>
            <w:r>
              <w:rPr>
                <w:rFonts w:ascii="Times New Roman" w:hAnsi="Times New Roman" w:cs="Times New Roman"/>
                <w:color w:val="000000" w:themeColor="text1"/>
                <w:lang w:val="ro-MD"/>
              </w:rPr>
              <w:t xml:space="preserve">- </w:t>
            </w:r>
            <w:r w:rsidRPr="003C1766">
              <w:rPr>
                <w:rFonts w:ascii="Times New Roman" w:hAnsi="Times New Roman" w:cs="Times New Roman"/>
                <w:color w:val="000000" w:themeColor="text1"/>
                <w:lang w:val="ro-MD"/>
              </w:rPr>
              <w:t xml:space="preserve">maturitate al obligațiunii-suport și pentru instrumentele de tip </w:t>
            </w:r>
            <w:proofErr w:type="spellStart"/>
            <w:r w:rsidRPr="003C1766">
              <w:rPr>
                <w:rFonts w:ascii="Times New Roman" w:hAnsi="Times New Roman" w:cs="Times New Roman"/>
                <w:color w:val="000000" w:themeColor="text1"/>
                <w:lang w:val="ro-MD"/>
              </w:rPr>
              <w:t>swaption</w:t>
            </w:r>
            <w:proofErr w:type="spellEnd"/>
            <w:r w:rsidRPr="003C1766">
              <w:rPr>
                <w:rFonts w:ascii="Times New Roman" w:hAnsi="Times New Roman" w:cs="Times New Roman"/>
                <w:color w:val="000000" w:themeColor="text1"/>
                <w:lang w:val="ro-MD"/>
              </w:rPr>
              <w:t xml:space="preserve"> este derivata parțială a delta în raport cu rata de </w:t>
            </w:r>
            <w:proofErr w:type="spellStart"/>
            <w:r w:rsidRPr="003C1766">
              <w:rPr>
                <w:rFonts w:ascii="Times New Roman" w:hAnsi="Times New Roman" w:cs="Times New Roman"/>
                <w:color w:val="000000" w:themeColor="text1"/>
                <w:lang w:val="ro-MD"/>
              </w:rPr>
              <w:t>swap</w:t>
            </w:r>
            <w:proofErr w:type="spellEnd"/>
            <w:r w:rsidRPr="003C1766">
              <w:rPr>
                <w:rFonts w:ascii="Times New Roman" w:hAnsi="Times New Roman" w:cs="Times New Roman"/>
                <w:color w:val="000000" w:themeColor="text1"/>
                <w:lang w:val="ro-MD"/>
              </w:rPr>
              <w:t>;</w:t>
            </w:r>
          </w:p>
          <w:p w14:paraId="05511FC7" w14:textId="43ED8CB4" w:rsidR="0087776C" w:rsidRPr="006315B0" w:rsidRDefault="0087776C" w:rsidP="00A45A84">
            <w:pPr>
              <w:spacing w:line="240" w:lineRule="auto"/>
              <w:jc w:val="both"/>
              <w:rPr>
                <w:rFonts w:ascii="Times New Roman" w:hAnsi="Times New Roman" w:cs="Times New Roman"/>
                <w:color w:val="000000" w:themeColor="text1"/>
                <w:lang w:val="ro-MD"/>
              </w:rPr>
            </w:pPr>
            <w:r w:rsidRPr="003C1766">
              <w:rPr>
                <w:rFonts w:ascii="Times New Roman" w:hAnsi="Times New Roman" w:cs="Times New Roman"/>
                <w:color w:val="000000" w:themeColor="text1"/>
                <w:lang w:val="ro-MD"/>
              </w:rPr>
              <w:t xml:space="preserve">(b) cerința referitoare la prima derivată parțială a valorii unei opțiuni sau a unui </w:t>
            </w:r>
            <w:proofErr w:type="spellStart"/>
            <w:r w:rsidRPr="003C1766">
              <w:rPr>
                <w:rFonts w:ascii="Times New Roman" w:hAnsi="Times New Roman" w:cs="Times New Roman"/>
                <w:color w:val="000000" w:themeColor="text1"/>
                <w:lang w:val="ro-MD"/>
              </w:rPr>
              <w:t>warrant</w:t>
            </w:r>
            <w:proofErr w:type="spellEnd"/>
            <w:r w:rsidRPr="003C1766">
              <w:rPr>
                <w:rFonts w:ascii="Times New Roman" w:hAnsi="Times New Roman" w:cs="Times New Roman"/>
                <w:color w:val="000000" w:themeColor="text1"/>
                <w:lang w:val="ro-MD"/>
              </w:rPr>
              <w:t xml:space="preserve"> în raport cu volatilitatea implicită.</w:t>
            </w:r>
          </w:p>
        </w:tc>
        <w:tc>
          <w:tcPr>
            <w:tcW w:w="1692" w:type="pct"/>
          </w:tcPr>
          <w:p w14:paraId="32310AE0" w14:textId="6ACE4C0F" w:rsidR="0087776C" w:rsidRPr="006315B0" w:rsidRDefault="0087776C" w:rsidP="00A45A84">
            <w:pPr>
              <w:spacing w:line="240" w:lineRule="auto"/>
              <w:jc w:val="both"/>
              <w:rPr>
                <w:rFonts w:ascii="Times New Roman" w:hAnsi="Times New Roman" w:cs="Times New Roman"/>
                <w:color w:val="000000" w:themeColor="text1"/>
                <w:lang w:val="ro-MD"/>
              </w:rPr>
            </w:pPr>
            <w:bookmarkStart w:id="17" w:name="_Hlk224659731"/>
            <w:r>
              <w:rPr>
                <w:rFonts w:ascii="Times New Roman" w:hAnsi="Times New Roman" w:cs="Times New Roman"/>
                <w:color w:val="000000" w:themeColor="text1"/>
                <w:lang w:val="ro-MD"/>
              </w:rPr>
              <w:t>10.</w:t>
            </w:r>
            <w:r w:rsidRPr="006315B0">
              <w:rPr>
                <w:rFonts w:ascii="Times New Roman" w:hAnsi="Times New Roman" w:cs="Times New Roman"/>
                <w:color w:val="000000" w:themeColor="text1"/>
                <w:lang w:val="ro-MD"/>
              </w:rPr>
              <w:t xml:space="preserve"> În cazul în care </w:t>
            </w:r>
            <w:r>
              <w:rPr>
                <w:rFonts w:ascii="Times New Roman" w:hAnsi="Times New Roman" w:cs="Times New Roman"/>
                <w:color w:val="000000" w:themeColor="text1"/>
                <w:lang w:val="ro-MD"/>
              </w:rPr>
              <w:t>băncile</w:t>
            </w:r>
            <w:r w:rsidRPr="006315B0">
              <w:rPr>
                <w:rFonts w:ascii="Times New Roman" w:hAnsi="Times New Roman" w:cs="Times New Roman"/>
                <w:color w:val="000000" w:themeColor="text1"/>
                <w:lang w:val="ro-MD"/>
              </w:rPr>
              <w:t xml:space="preserve"> aleg să aplice abordarea delta-plus</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pentru opțiuni și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al căror gamma este o funcție continuă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prețul suportului și al căror </w:t>
            </w:r>
            <w:proofErr w:type="spellStart"/>
            <w:r w:rsidRPr="006315B0">
              <w:rPr>
                <w:rFonts w:ascii="Times New Roman" w:hAnsi="Times New Roman" w:cs="Times New Roman"/>
                <w:color w:val="000000" w:themeColor="text1"/>
                <w:lang w:val="ro-MD"/>
              </w:rPr>
              <w:t>vega</w:t>
            </w:r>
            <w:proofErr w:type="spellEnd"/>
            <w:r w:rsidRPr="006315B0">
              <w:rPr>
                <w:rFonts w:ascii="Times New Roman" w:hAnsi="Times New Roman" w:cs="Times New Roman"/>
                <w:color w:val="000000" w:themeColor="text1"/>
                <w:lang w:val="ro-MD"/>
              </w:rPr>
              <w:t xml:space="preserve"> este o funcție continuă în volatilitatea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implicită („opțiuni și </w:t>
            </w:r>
            <w:proofErr w:type="spellStart"/>
            <w:r w:rsidRPr="006315B0">
              <w:rPr>
                <w:rFonts w:ascii="Times New Roman" w:hAnsi="Times New Roman" w:cs="Times New Roman"/>
                <w:color w:val="000000" w:themeColor="text1"/>
                <w:lang w:val="ro-MD"/>
              </w:rPr>
              <w:t>warranturi</w:t>
            </w:r>
            <w:proofErr w:type="spellEnd"/>
            <w:r w:rsidRPr="006315B0">
              <w:rPr>
                <w:rFonts w:ascii="Times New Roman" w:hAnsi="Times New Roman" w:cs="Times New Roman"/>
                <w:color w:val="000000" w:themeColor="text1"/>
                <w:lang w:val="ro-MD"/>
              </w:rPr>
              <w:t xml:space="preserve"> continue”), cerințele de fonduri proprii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pentru alte riscuri decât riscul delta privind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se</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calculează ca suma următoarelor cerințe:</w:t>
            </w:r>
          </w:p>
          <w:p w14:paraId="1E7AF756" w14:textId="0748BCEF"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10.1.</w:t>
            </w:r>
            <w:r w:rsidRPr="003C1766">
              <w:rPr>
                <w:rFonts w:ascii="Times New Roman" w:hAnsi="Times New Roman" w:cs="Times New Roman"/>
                <w:color w:val="000000" w:themeColor="text1"/>
                <w:lang w:val="ro-MD"/>
              </w:rPr>
              <w:t xml:space="preserve"> cerințele de fonduri proprii referitoare la derivata parțială a delta în raport cu prețul suportului, care pentru opțiunile sau </w:t>
            </w:r>
            <w:proofErr w:type="spellStart"/>
            <w:r w:rsidRPr="003C1766">
              <w:rPr>
                <w:rFonts w:ascii="Times New Roman" w:hAnsi="Times New Roman" w:cs="Times New Roman"/>
                <w:color w:val="000000" w:themeColor="text1"/>
                <w:lang w:val="ro-MD"/>
              </w:rPr>
              <w:t>warranturile</w:t>
            </w:r>
            <w:proofErr w:type="spellEnd"/>
            <w:r w:rsidRPr="003C1766">
              <w:rPr>
                <w:rFonts w:ascii="Times New Roman" w:hAnsi="Times New Roman" w:cs="Times New Roman"/>
                <w:color w:val="000000" w:themeColor="text1"/>
                <w:lang w:val="ro-MD"/>
              </w:rPr>
              <w:t xml:space="preserve"> pe obligațiuni este derivata parțială a delta în raport cu randamentul-la</w:t>
            </w:r>
            <w:r>
              <w:rPr>
                <w:rFonts w:ascii="Times New Roman" w:hAnsi="Times New Roman" w:cs="Times New Roman"/>
                <w:color w:val="000000" w:themeColor="text1"/>
                <w:lang w:val="ro-MD"/>
              </w:rPr>
              <w:t>-</w:t>
            </w:r>
            <w:r w:rsidRPr="003C1766">
              <w:rPr>
                <w:rFonts w:ascii="Times New Roman" w:hAnsi="Times New Roman" w:cs="Times New Roman"/>
                <w:color w:val="000000" w:themeColor="text1"/>
                <w:lang w:val="ro-MD"/>
              </w:rPr>
              <w:t xml:space="preserve">maturitate al obligațiunii-suport și pentru instrumentele de tip </w:t>
            </w:r>
            <w:proofErr w:type="spellStart"/>
            <w:r w:rsidRPr="003C1766">
              <w:rPr>
                <w:rFonts w:ascii="Times New Roman" w:hAnsi="Times New Roman" w:cs="Times New Roman"/>
                <w:color w:val="000000" w:themeColor="text1"/>
                <w:lang w:val="ro-MD"/>
              </w:rPr>
              <w:t>swaption</w:t>
            </w:r>
            <w:proofErr w:type="spellEnd"/>
            <w:r w:rsidRPr="003C1766">
              <w:rPr>
                <w:rFonts w:ascii="Times New Roman" w:hAnsi="Times New Roman" w:cs="Times New Roman"/>
                <w:color w:val="000000" w:themeColor="text1"/>
                <w:lang w:val="ro-MD"/>
              </w:rPr>
              <w:t xml:space="preserve"> este derivata parțială a delta în raport cu rata de </w:t>
            </w:r>
            <w:proofErr w:type="spellStart"/>
            <w:r w:rsidRPr="003C1766">
              <w:rPr>
                <w:rFonts w:ascii="Times New Roman" w:hAnsi="Times New Roman" w:cs="Times New Roman"/>
                <w:color w:val="000000" w:themeColor="text1"/>
                <w:lang w:val="ro-MD"/>
              </w:rPr>
              <w:t>swap</w:t>
            </w:r>
            <w:proofErr w:type="spellEnd"/>
            <w:r w:rsidRPr="003C1766">
              <w:rPr>
                <w:rFonts w:ascii="Times New Roman" w:hAnsi="Times New Roman" w:cs="Times New Roman"/>
                <w:color w:val="000000" w:themeColor="text1"/>
                <w:lang w:val="ro-MD"/>
              </w:rPr>
              <w:t>;</w:t>
            </w:r>
          </w:p>
          <w:p w14:paraId="143CC553" w14:textId="0C84DC71"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10.2.</w:t>
            </w:r>
            <w:r w:rsidRPr="00A45A84">
              <w:rPr>
                <w:rFonts w:ascii="Times New Roman" w:hAnsi="Times New Roman" w:cs="Times New Roman"/>
                <w:color w:val="000000" w:themeColor="text1"/>
                <w:lang w:val="ro-MD"/>
              </w:rPr>
              <w:t xml:space="preserve"> cerința referitoare la prima derivată parțială a valorii unei opțiuni sau a unui </w:t>
            </w:r>
            <w:proofErr w:type="spellStart"/>
            <w:r w:rsidRPr="00A45A84">
              <w:rPr>
                <w:rFonts w:ascii="Times New Roman" w:hAnsi="Times New Roman" w:cs="Times New Roman"/>
                <w:color w:val="000000" w:themeColor="text1"/>
                <w:lang w:val="ro-MD"/>
              </w:rPr>
              <w:t>warrant</w:t>
            </w:r>
            <w:proofErr w:type="spellEnd"/>
            <w:r w:rsidRPr="00A45A84">
              <w:rPr>
                <w:rFonts w:ascii="Times New Roman" w:hAnsi="Times New Roman" w:cs="Times New Roman"/>
                <w:color w:val="000000" w:themeColor="text1"/>
                <w:lang w:val="ro-MD"/>
              </w:rPr>
              <w:t xml:space="preserve"> în raport cu volatilitatea implicită.</w:t>
            </w:r>
            <w:bookmarkEnd w:id="17"/>
          </w:p>
        </w:tc>
        <w:tc>
          <w:tcPr>
            <w:tcW w:w="450" w:type="pct"/>
          </w:tcPr>
          <w:p w14:paraId="5A41FCCD" w14:textId="77777777" w:rsidR="00CF31B6" w:rsidRPr="00C25E6D" w:rsidRDefault="00CF31B6" w:rsidP="00CF31B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7A6AC52F" w14:textId="77777777" w:rsidR="0087776C" w:rsidRPr="00C25E6D" w:rsidRDefault="0087776C" w:rsidP="00A45A84">
            <w:pPr>
              <w:spacing w:line="276" w:lineRule="auto"/>
              <w:rPr>
                <w:rFonts w:ascii="Times New Roman" w:hAnsi="Times New Roman" w:cs="Times New Roman"/>
                <w:color w:val="000000" w:themeColor="text1"/>
                <w:lang w:val="ro-MD"/>
              </w:rPr>
            </w:pPr>
          </w:p>
        </w:tc>
        <w:tc>
          <w:tcPr>
            <w:tcW w:w="1261" w:type="pct"/>
          </w:tcPr>
          <w:p w14:paraId="6D1B9994" w14:textId="77777777" w:rsidR="0087776C" w:rsidRPr="00C25E6D" w:rsidRDefault="0087776C" w:rsidP="00A45A84">
            <w:pPr>
              <w:spacing w:line="276" w:lineRule="auto"/>
              <w:rPr>
                <w:rFonts w:ascii="Times New Roman" w:hAnsi="Times New Roman" w:cs="Times New Roman"/>
                <w:color w:val="000000" w:themeColor="text1"/>
                <w:lang w:val="ro-MD"/>
              </w:rPr>
            </w:pPr>
          </w:p>
        </w:tc>
      </w:tr>
      <w:tr w:rsidR="006315B0" w:rsidRPr="008D74CE" w14:paraId="75CEF528"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723C8BE" w14:textId="77CFDE0F" w:rsidR="006315B0" w:rsidRPr="006315B0" w:rsidRDefault="006315B0"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(2) Volatilitatea implicită se consideră a fi valoarea volatilității din</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formula de stabilire a prețului opțiunii sau a </w:t>
            </w:r>
            <w:proofErr w:type="spellStart"/>
            <w:r w:rsidRPr="006315B0">
              <w:rPr>
                <w:rFonts w:ascii="Times New Roman" w:hAnsi="Times New Roman" w:cs="Times New Roman"/>
                <w:color w:val="000000" w:themeColor="text1"/>
                <w:lang w:val="ro-MD"/>
              </w:rPr>
              <w:t>warrantului</w:t>
            </w:r>
            <w:proofErr w:type="spellEnd"/>
            <w:r w:rsidRPr="006315B0">
              <w:rPr>
                <w:rFonts w:ascii="Times New Roman" w:hAnsi="Times New Roman" w:cs="Times New Roman"/>
                <w:color w:val="000000" w:themeColor="text1"/>
                <w:lang w:val="ro-MD"/>
              </w:rPr>
              <w:t xml:space="preserve"> pentru care,</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având în vedere un anumit model de stabilire a prețului și dat fiind</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nivelul tuturor celorlalți parametri observabili de stabilire a prețului,</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prețul teoretic al opțiunii sau al </w:t>
            </w:r>
            <w:proofErr w:type="spellStart"/>
            <w:r w:rsidRPr="006315B0">
              <w:rPr>
                <w:rFonts w:ascii="Times New Roman" w:hAnsi="Times New Roman" w:cs="Times New Roman"/>
                <w:color w:val="000000" w:themeColor="text1"/>
                <w:lang w:val="ro-MD"/>
              </w:rPr>
              <w:t>warrantului</w:t>
            </w:r>
            <w:proofErr w:type="spellEnd"/>
            <w:r w:rsidRPr="006315B0">
              <w:rPr>
                <w:rFonts w:ascii="Times New Roman" w:hAnsi="Times New Roman" w:cs="Times New Roman"/>
                <w:color w:val="000000" w:themeColor="text1"/>
                <w:lang w:val="ro-MD"/>
              </w:rPr>
              <w:t xml:space="preserve"> este egal cu valoarea sa</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de piață, „valoarea de piață” </w:t>
            </w:r>
            <w:r w:rsidRPr="006315B0">
              <w:rPr>
                <w:rFonts w:ascii="Times New Roman" w:hAnsi="Times New Roman" w:cs="Times New Roman"/>
                <w:color w:val="000000" w:themeColor="text1"/>
                <w:lang w:val="ro-MD"/>
              </w:rPr>
              <w:lastRenderedPageBreak/>
              <w:t>fiind înțeleasă în modul descris la</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articolul 3 alineatul (4).</w:t>
            </w:r>
          </w:p>
        </w:tc>
        <w:tc>
          <w:tcPr>
            <w:tcW w:w="1692" w:type="pct"/>
          </w:tcPr>
          <w:p w14:paraId="72D904FA" w14:textId="6279A27D" w:rsidR="006315B0" w:rsidRPr="006315B0" w:rsidRDefault="0080226E" w:rsidP="00A45A84">
            <w:pPr>
              <w:spacing w:line="240" w:lineRule="auto"/>
              <w:jc w:val="both"/>
              <w:rPr>
                <w:rFonts w:ascii="Times New Roman" w:hAnsi="Times New Roman" w:cs="Times New Roman"/>
                <w:color w:val="000000" w:themeColor="text1"/>
                <w:lang w:val="ro-MD"/>
              </w:rPr>
            </w:pPr>
            <w:bookmarkStart w:id="18" w:name="_Hlk224659833"/>
            <w:r>
              <w:rPr>
                <w:rFonts w:ascii="Times New Roman" w:hAnsi="Times New Roman" w:cs="Times New Roman"/>
                <w:color w:val="000000" w:themeColor="text1"/>
                <w:lang w:val="ro-MD"/>
              </w:rPr>
              <w:lastRenderedPageBreak/>
              <w:t>11.</w:t>
            </w:r>
            <w:r w:rsidR="00A45A84" w:rsidRPr="00A45A84">
              <w:rPr>
                <w:rFonts w:ascii="Times New Roman" w:hAnsi="Times New Roman" w:cs="Times New Roman"/>
                <w:color w:val="000000" w:themeColor="text1"/>
                <w:lang w:val="ro-MD"/>
              </w:rPr>
              <w:t xml:space="preserve"> Volatilitatea implicită se consideră a fi valoarea volatilității din formula de stabilire a prețului opțiunii sau a </w:t>
            </w:r>
            <w:proofErr w:type="spellStart"/>
            <w:r w:rsidR="00A45A84" w:rsidRPr="00A45A84">
              <w:rPr>
                <w:rFonts w:ascii="Times New Roman" w:hAnsi="Times New Roman" w:cs="Times New Roman"/>
                <w:color w:val="000000" w:themeColor="text1"/>
                <w:lang w:val="ro-MD"/>
              </w:rPr>
              <w:t>warrantului</w:t>
            </w:r>
            <w:proofErr w:type="spellEnd"/>
            <w:r w:rsidR="00A45A84" w:rsidRPr="00A45A84">
              <w:rPr>
                <w:rFonts w:ascii="Times New Roman" w:hAnsi="Times New Roman" w:cs="Times New Roman"/>
                <w:color w:val="000000" w:themeColor="text1"/>
                <w:lang w:val="ro-MD"/>
              </w:rPr>
              <w:t xml:space="preserve"> pentru care, având în vedere un anumit model de stabilire a prețului și dat fiind nivelul tuturor celorlalți parametri observabili de stabilire a prețului, prețul teoretic al opțiunii sau al </w:t>
            </w:r>
            <w:proofErr w:type="spellStart"/>
            <w:r w:rsidR="00A45A84" w:rsidRPr="00A45A84">
              <w:rPr>
                <w:rFonts w:ascii="Times New Roman" w:hAnsi="Times New Roman" w:cs="Times New Roman"/>
                <w:color w:val="000000" w:themeColor="text1"/>
                <w:lang w:val="ro-MD"/>
              </w:rPr>
              <w:t>warrantului</w:t>
            </w:r>
            <w:proofErr w:type="spellEnd"/>
            <w:r w:rsidR="00A45A84" w:rsidRPr="00A45A84">
              <w:rPr>
                <w:rFonts w:ascii="Times New Roman" w:hAnsi="Times New Roman" w:cs="Times New Roman"/>
                <w:color w:val="000000" w:themeColor="text1"/>
                <w:lang w:val="ro-MD"/>
              </w:rPr>
              <w:t xml:space="preserve"> este egal cu valoarea sa de piață, „valoarea de piață” fiind înțeleasă în modul descris la </w:t>
            </w:r>
            <w:r>
              <w:rPr>
                <w:rFonts w:ascii="Times New Roman" w:hAnsi="Times New Roman" w:cs="Times New Roman"/>
                <w:color w:val="000000" w:themeColor="text1"/>
                <w:lang w:val="ro-MD"/>
              </w:rPr>
              <w:t>pct.8</w:t>
            </w:r>
            <w:r w:rsidR="00A45A84" w:rsidRPr="00A45A84">
              <w:rPr>
                <w:rFonts w:ascii="Times New Roman" w:hAnsi="Times New Roman" w:cs="Times New Roman"/>
                <w:color w:val="000000" w:themeColor="text1"/>
                <w:lang w:val="ro-MD"/>
              </w:rPr>
              <w:t>.</w:t>
            </w:r>
            <w:bookmarkEnd w:id="18"/>
          </w:p>
        </w:tc>
        <w:tc>
          <w:tcPr>
            <w:tcW w:w="450" w:type="pct"/>
          </w:tcPr>
          <w:p w14:paraId="207E47FC" w14:textId="77777777" w:rsidR="00CF31B6" w:rsidRPr="00C25E6D" w:rsidRDefault="00CF31B6" w:rsidP="00CF31B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0AA0D080"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566B84B5"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87776C" w:rsidRPr="00F650AB" w14:paraId="418FB093" w14:textId="77777777" w:rsidTr="00A10A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9"/>
        </w:trPr>
        <w:tc>
          <w:tcPr>
            <w:tcW w:w="1597" w:type="pct"/>
          </w:tcPr>
          <w:p w14:paraId="11F5581C"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(3) Cerințele de fonduri proprii pentru alte riscuri decât riscul delta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aferente opțiunilor sau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noncontinue</w:t>
            </w:r>
            <w:proofErr w:type="spellEnd"/>
            <w:r w:rsidRPr="006315B0">
              <w:rPr>
                <w:rFonts w:ascii="Times New Roman" w:hAnsi="Times New Roman" w:cs="Times New Roman"/>
                <w:color w:val="000000" w:themeColor="text1"/>
                <w:lang w:val="ro-MD"/>
              </w:rPr>
              <w:t xml:space="preserve"> se determină după cum</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urmează:</w:t>
            </w:r>
          </w:p>
          <w:p w14:paraId="0C41D842"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(a) în cazul în care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au fost cumpărate, ca cel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mai mare cuantum dintre zero și diferența dintre următoarele valori:</w:t>
            </w:r>
          </w:p>
          <w:p w14:paraId="55120449"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(i) valoarea de piață a opțiunii sau a </w:t>
            </w:r>
            <w:proofErr w:type="spellStart"/>
            <w:r w:rsidRPr="006315B0">
              <w:rPr>
                <w:rFonts w:ascii="Times New Roman" w:hAnsi="Times New Roman" w:cs="Times New Roman"/>
                <w:color w:val="000000" w:themeColor="text1"/>
                <w:lang w:val="ro-MD"/>
              </w:rPr>
              <w:t>warrantului</w:t>
            </w:r>
            <w:proofErr w:type="spellEnd"/>
            <w:r w:rsidRPr="006315B0">
              <w:rPr>
                <w:rFonts w:ascii="Times New Roman" w:hAnsi="Times New Roman" w:cs="Times New Roman"/>
                <w:color w:val="000000" w:themeColor="text1"/>
                <w:lang w:val="ro-MD"/>
              </w:rPr>
              <w:t>, înțeleasă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modul descris la articolul 3 alineatul (4);</w:t>
            </w:r>
          </w:p>
          <w:p w14:paraId="2F3B5A15"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(ii) cuantumul echivalentului delta ponderat la risc, înțeles în modul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descris la articolul 3 alineatul (1) litera (b);</w:t>
            </w:r>
          </w:p>
          <w:p w14:paraId="12FBB13F" w14:textId="77777777" w:rsidR="0087776C"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 xml:space="preserve">(b) în cazul în care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au fost vândute, ca cel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mai mare cuantum dintre zero și diferența dintre următoarele cuantumuri:</w:t>
            </w:r>
          </w:p>
          <w:p w14:paraId="5CCB7AA7" w14:textId="77777777"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(i) valoarea de piață relevantă a activului-suport, care se consideră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a fi plata maximă posibilă la scadență, dacă aceasta este stabilită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prin contract, sau valoarea de piață a activului-suport ori</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valoarea noțională efectivă, dacă prin contract nu este stabilită</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nicio plată maximă posibilă;</w:t>
            </w:r>
          </w:p>
          <w:p w14:paraId="0D5E407B" w14:textId="052D3E6D" w:rsidR="0087776C" w:rsidRPr="006315B0" w:rsidRDefault="0087776C"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t>(ii) cuantumul echivalentului delta ponderat la risc, înțeles în modul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descris la articolul 3 alineatul (1) litera (b).</w:t>
            </w:r>
          </w:p>
        </w:tc>
        <w:tc>
          <w:tcPr>
            <w:tcW w:w="1692" w:type="pct"/>
          </w:tcPr>
          <w:p w14:paraId="0D6E5D3D" w14:textId="5F2114BE" w:rsidR="0087776C" w:rsidRPr="006315B0" w:rsidRDefault="0087776C" w:rsidP="00A45A84">
            <w:pPr>
              <w:spacing w:line="240" w:lineRule="auto"/>
              <w:jc w:val="both"/>
              <w:rPr>
                <w:rFonts w:ascii="Times New Roman" w:hAnsi="Times New Roman" w:cs="Times New Roman"/>
                <w:color w:val="000000" w:themeColor="text1"/>
                <w:lang w:val="ro-MD"/>
              </w:rPr>
            </w:pPr>
            <w:bookmarkStart w:id="19" w:name="_Hlk224659901"/>
            <w:r>
              <w:rPr>
                <w:rFonts w:ascii="Times New Roman" w:hAnsi="Times New Roman" w:cs="Times New Roman"/>
                <w:color w:val="000000" w:themeColor="text1"/>
                <w:lang w:val="ro-MD"/>
              </w:rPr>
              <w:t>12.</w:t>
            </w:r>
            <w:r w:rsidRPr="006315B0">
              <w:rPr>
                <w:rFonts w:ascii="Times New Roman" w:hAnsi="Times New Roman" w:cs="Times New Roman"/>
                <w:color w:val="000000" w:themeColor="text1"/>
                <w:lang w:val="ro-MD"/>
              </w:rPr>
              <w:t xml:space="preserve"> Cerințele de fonduri proprii pentru alte riscuri decât riscul delta</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aferente opțiunilor sau </w:t>
            </w:r>
            <w:proofErr w:type="spellStart"/>
            <w:r w:rsidRPr="006315B0">
              <w:rPr>
                <w:rFonts w:ascii="Times New Roman" w:hAnsi="Times New Roman" w:cs="Times New Roman"/>
                <w:color w:val="000000" w:themeColor="text1"/>
                <w:lang w:val="ro-MD"/>
              </w:rPr>
              <w:t>warranturilor</w:t>
            </w:r>
            <w:proofErr w:type="spellEnd"/>
            <w:r w:rsidRPr="006315B0">
              <w:rPr>
                <w:rFonts w:ascii="Times New Roman" w:hAnsi="Times New Roman" w:cs="Times New Roman"/>
                <w:color w:val="000000" w:themeColor="text1"/>
                <w:lang w:val="ro-MD"/>
              </w:rPr>
              <w:t xml:space="preserve"> </w:t>
            </w:r>
            <w:proofErr w:type="spellStart"/>
            <w:r w:rsidRPr="006315B0">
              <w:rPr>
                <w:rFonts w:ascii="Times New Roman" w:hAnsi="Times New Roman" w:cs="Times New Roman"/>
                <w:color w:val="000000" w:themeColor="text1"/>
                <w:lang w:val="ro-MD"/>
              </w:rPr>
              <w:t>noncontinue</w:t>
            </w:r>
            <w:proofErr w:type="spellEnd"/>
            <w:r w:rsidRPr="006315B0">
              <w:rPr>
                <w:rFonts w:ascii="Times New Roman" w:hAnsi="Times New Roman" w:cs="Times New Roman"/>
                <w:color w:val="000000" w:themeColor="text1"/>
                <w:lang w:val="ro-MD"/>
              </w:rPr>
              <w:t xml:space="preserve"> se determină după cum</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urmează:</w:t>
            </w:r>
          </w:p>
          <w:p w14:paraId="5DFB947F" w14:textId="1325B6B6"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12.1.</w:t>
            </w:r>
            <w:r w:rsidRPr="006315B0">
              <w:rPr>
                <w:rFonts w:ascii="Times New Roman" w:hAnsi="Times New Roman" w:cs="Times New Roman"/>
                <w:color w:val="000000" w:themeColor="text1"/>
                <w:lang w:val="ro-MD"/>
              </w:rPr>
              <w:t xml:space="preserve"> în cazul în care opțiunile sau </w:t>
            </w:r>
            <w:proofErr w:type="spellStart"/>
            <w:r w:rsidRPr="006315B0">
              <w:rPr>
                <w:rFonts w:ascii="Times New Roman" w:hAnsi="Times New Roman" w:cs="Times New Roman"/>
                <w:color w:val="000000" w:themeColor="text1"/>
                <w:lang w:val="ro-MD"/>
              </w:rPr>
              <w:t>warranturile</w:t>
            </w:r>
            <w:proofErr w:type="spellEnd"/>
            <w:r w:rsidRPr="006315B0">
              <w:rPr>
                <w:rFonts w:ascii="Times New Roman" w:hAnsi="Times New Roman" w:cs="Times New Roman"/>
                <w:color w:val="000000" w:themeColor="text1"/>
                <w:lang w:val="ro-MD"/>
              </w:rPr>
              <w:t xml:space="preserve"> au fost cumpărate, ca cel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mai mare cuantum dintre zero și diferența dintre următoarele valori:</w:t>
            </w:r>
          </w:p>
          <w:p w14:paraId="177CB3D7" w14:textId="1181F4EE"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12.1.1</w:t>
            </w:r>
            <w:r w:rsidRPr="006315B0">
              <w:rPr>
                <w:rFonts w:ascii="Times New Roman" w:hAnsi="Times New Roman" w:cs="Times New Roman"/>
                <w:color w:val="000000" w:themeColor="text1"/>
                <w:lang w:val="ro-MD"/>
              </w:rPr>
              <w:t xml:space="preserve"> valoarea de piață a opțiunii sau a </w:t>
            </w:r>
            <w:proofErr w:type="spellStart"/>
            <w:r w:rsidRPr="006315B0">
              <w:rPr>
                <w:rFonts w:ascii="Times New Roman" w:hAnsi="Times New Roman" w:cs="Times New Roman"/>
                <w:color w:val="000000" w:themeColor="text1"/>
                <w:lang w:val="ro-MD"/>
              </w:rPr>
              <w:t>warrantului</w:t>
            </w:r>
            <w:proofErr w:type="spellEnd"/>
            <w:r w:rsidRPr="006315B0">
              <w:rPr>
                <w:rFonts w:ascii="Times New Roman" w:hAnsi="Times New Roman" w:cs="Times New Roman"/>
                <w:color w:val="000000" w:themeColor="text1"/>
                <w:lang w:val="ro-MD"/>
              </w:rPr>
              <w:t>, înțeleasă în</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modul descris la</w:t>
            </w:r>
            <w:r>
              <w:rPr>
                <w:rFonts w:ascii="Times New Roman" w:hAnsi="Times New Roman" w:cs="Times New Roman"/>
                <w:color w:val="000000" w:themeColor="text1"/>
                <w:lang w:val="ro-MD"/>
              </w:rPr>
              <w:t>pct.8</w:t>
            </w:r>
            <w:r w:rsidRPr="006315B0">
              <w:rPr>
                <w:rFonts w:ascii="Times New Roman" w:hAnsi="Times New Roman" w:cs="Times New Roman"/>
                <w:color w:val="000000" w:themeColor="text1"/>
                <w:lang w:val="ro-MD"/>
              </w:rPr>
              <w:t>;</w:t>
            </w:r>
          </w:p>
          <w:p w14:paraId="260C0192" w14:textId="64DCEFF2"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12.1.2.</w:t>
            </w:r>
            <w:r w:rsidRPr="006315B0">
              <w:rPr>
                <w:rFonts w:ascii="Times New Roman" w:hAnsi="Times New Roman" w:cs="Times New Roman"/>
                <w:color w:val="000000" w:themeColor="text1"/>
                <w:lang w:val="ro-MD"/>
              </w:rPr>
              <w:t xml:space="preserve"> cuantumul echivalentului delta ponderat la risc, înțeles în modul</w:t>
            </w:r>
            <w:r>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descris la </w:t>
            </w:r>
            <w:r>
              <w:rPr>
                <w:rFonts w:ascii="Times New Roman" w:hAnsi="Times New Roman" w:cs="Times New Roman"/>
                <w:color w:val="000000" w:themeColor="text1"/>
                <w:lang w:val="ro-MD"/>
              </w:rPr>
              <w:t>subpct.8.2</w:t>
            </w:r>
            <w:r w:rsidRPr="006315B0">
              <w:rPr>
                <w:rFonts w:ascii="Times New Roman" w:hAnsi="Times New Roman" w:cs="Times New Roman"/>
                <w:color w:val="000000" w:themeColor="text1"/>
                <w:lang w:val="ro-MD"/>
              </w:rPr>
              <w:t>;</w:t>
            </w:r>
          </w:p>
          <w:p w14:paraId="35A4F5F0" w14:textId="0AEDFED8" w:rsidR="0087776C" w:rsidRPr="00A45A84"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12.2.</w:t>
            </w:r>
            <w:r w:rsidRPr="00A45A84">
              <w:rPr>
                <w:rFonts w:ascii="Times New Roman" w:hAnsi="Times New Roman" w:cs="Times New Roman"/>
                <w:color w:val="000000" w:themeColor="text1"/>
                <w:lang w:val="ro-MD"/>
              </w:rPr>
              <w:t xml:space="preserve"> în cazul în care opțiunile sau </w:t>
            </w:r>
            <w:proofErr w:type="spellStart"/>
            <w:r w:rsidRPr="00A45A84">
              <w:rPr>
                <w:rFonts w:ascii="Times New Roman" w:hAnsi="Times New Roman" w:cs="Times New Roman"/>
                <w:color w:val="000000" w:themeColor="text1"/>
                <w:lang w:val="ro-MD"/>
              </w:rPr>
              <w:t>warranturile</w:t>
            </w:r>
            <w:proofErr w:type="spellEnd"/>
            <w:r w:rsidRPr="00A45A84">
              <w:rPr>
                <w:rFonts w:ascii="Times New Roman" w:hAnsi="Times New Roman" w:cs="Times New Roman"/>
                <w:color w:val="000000" w:themeColor="text1"/>
                <w:lang w:val="ro-MD"/>
              </w:rPr>
              <w:t xml:space="preserve"> au fost vândute, ca cel mai mare cuantum dintre zero și diferența dintre următoarele cuantumuri:</w:t>
            </w:r>
          </w:p>
          <w:p w14:paraId="147BBEFF" w14:textId="67565578" w:rsidR="0087776C" w:rsidRPr="00A45A84"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12.2.1.</w:t>
            </w:r>
            <w:r w:rsidRPr="00A45A84">
              <w:rPr>
                <w:rFonts w:ascii="Times New Roman" w:hAnsi="Times New Roman" w:cs="Times New Roman"/>
                <w:color w:val="000000" w:themeColor="text1"/>
                <w:lang w:val="ro-MD"/>
              </w:rPr>
              <w:t xml:space="preserve"> valoarea de piață relevantă a activului-suport, care se consideră a fi plata maximă posibilă la scadență, dacă aceasta este stabilită prin contract, sau valoarea de piață a activului-suport ori valoarea noțională efectivă, dacă prin contract nu este stabilită nicio plată maximă posibilă;</w:t>
            </w:r>
          </w:p>
          <w:p w14:paraId="73DC630E" w14:textId="58079D7D" w:rsidR="0087776C" w:rsidRPr="006315B0" w:rsidRDefault="0087776C" w:rsidP="00A45A8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12.2.2.</w:t>
            </w:r>
            <w:r w:rsidRPr="00A45A84">
              <w:rPr>
                <w:rFonts w:ascii="Times New Roman" w:hAnsi="Times New Roman" w:cs="Times New Roman"/>
                <w:color w:val="000000" w:themeColor="text1"/>
                <w:lang w:val="ro-MD"/>
              </w:rPr>
              <w:t xml:space="preserve"> cuantumul echivalentului delta ponderat la risc, înțeles în modul descris la </w:t>
            </w:r>
            <w:r>
              <w:rPr>
                <w:rFonts w:ascii="Times New Roman" w:hAnsi="Times New Roman" w:cs="Times New Roman"/>
                <w:color w:val="000000" w:themeColor="text1"/>
                <w:lang w:val="ro-MD"/>
              </w:rPr>
              <w:t>subpct.8.2</w:t>
            </w:r>
            <w:r w:rsidRPr="00A45A84">
              <w:rPr>
                <w:rFonts w:ascii="Times New Roman" w:hAnsi="Times New Roman" w:cs="Times New Roman"/>
                <w:color w:val="000000" w:themeColor="text1"/>
                <w:lang w:val="ro-MD"/>
              </w:rPr>
              <w:t>.</w:t>
            </w:r>
            <w:bookmarkEnd w:id="19"/>
          </w:p>
        </w:tc>
        <w:tc>
          <w:tcPr>
            <w:tcW w:w="450" w:type="pct"/>
          </w:tcPr>
          <w:p w14:paraId="68D10F03" w14:textId="77777777" w:rsidR="0087776C" w:rsidRPr="00C25E6D" w:rsidRDefault="0087776C" w:rsidP="00A45A84">
            <w:pPr>
              <w:spacing w:line="276" w:lineRule="auto"/>
              <w:rPr>
                <w:rFonts w:ascii="Times New Roman" w:hAnsi="Times New Roman" w:cs="Times New Roman"/>
                <w:color w:val="000000" w:themeColor="text1"/>
                <w:lang w:val="ro-MD"/>
              </w:rPr>
            </w:pPr>
          </w:p>
        </w:tc>
        <w:tc>
          <w:tcPr>
            <w:tcW w:w="1261" w:type="pct"/>
          </w:tcPr>
          <w:p w14:paraId="3739DAE7" w14:textId="77777777" w:rsidR="0087776C" w:rsidRPr="00C25E6D" w:rsidRDefault="0087776C" w:rsidP="00A45A84">
            <w:pPr>
              <w:spacing w:line="276" w:lineRule="auto"/>
              <w:rPr>
                <w:rFonts w:ascii="Times New Roman" w:hAnsi="Times New Roman" w:cs="Times New Roman"/>
                <w:color w:val="000000" w:themeColor="text1"/>
                <w:lang w:val="ro-MD"/>
              </w:rPr>
            </w:pPr>
          </w:p>
        </w:tc>
      </w:tr>
      <w:tr w:rsidR="006315B0" w:rsidRPr="008D74CE" w14:paraId="4029A02C"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AD2584A" w14:textId="195385D3" w:rsidR="006315B0" w:rsidRPr="006315B0" w:rsidRDefault="006315B0" w:rsidP="00A45A84">
            <w:pPr>
              <w:spacing w:line="240" w:lineRule="auto"/>
              <w:jc w:val="both"/>
              <w:rPr>
                <w:rFonts w:ascii="Times New Roman" w:hAnsi="Times New Roman" w:cs="Times New Roman"/>
                <w:color w:val="000000" w:themeColor="text1"/>
                <w:lang w:val="ro-MD"/>
              </w:rPr>
            </w:pPr>
            <w:r w:rsidRPr="006315B0">
              <w:rPr>
                <w:rFonts w:ascii="Times New Roman" w:hAnsi="Times New Roman" w:cs="Times New Roman"/>
                <w:color w:val="000000" w:themeColor="text1"/>
                <w:lang w:val="ro-MD"/>
              </w:rPr>
              <w:lastRenderedPageBreak/>
              <w:t xml:space="preserve">(4) Valoarea pentru gamma și </w:t>
            </w:r>
            <w:proofErr w:type="spellStart"/>
            <w:r w:rsidRPr="006315B0">
              <w:rPr>
                <w:rFonts w:ascii="Times New Roman" w:hAnsi="Times New Roman" w:cs="Times New Roman"/>
                <w:color w:val="000000" w:themeColor="text1"/>
                <w:lang w:val="ro-MD"/>
              </w:rPr>
              <w:t>vega</w:t>
            </w:r>
            <w:proofErr w:type="spellEnd"/>
            <w:r w:rsidRPr="006315B0">
              <w:rPr>
                <w:rFonts w:ascii="Times New Roman" w:hAnsi="Times New Roman" w:cs="Times New Roman"/>
                <w:color w:val="000000" w:themeColor="text1"/>
                <w:lang w:val="ro-MD"/>
              </w:rPr>
              <w:t xml:space="preserve"> utilizată în calcularea cerințelor</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de fonduri proprii se calculează utilizând un model corespunzător de</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stabilire a prețului, astfel cum se menționează la articolul 329 alineatul</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(1), la articolul 352 alineatul (1) și la articolul 358 alineatul (3) din</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 xml:space="preserve">Regulamentul (UE) nr. 575/2013. În cazul în care fie gamma, fie </w:t>
            </w:r>
            <w:proofErr w:type="spellStart"/>
            <w:r w:rsidRPr="006315B0">
              <w:rPr>
                <w:rFonts w:ascii="Times New Roman" w:hAnsi="Times New Roman" w:cs="Times New Roman"/>
                <w:color w:val="000000" w:themeColor="text1"/>
                <w:lang w:val="ro-MD"/>
              </w:rPr>
              <w:t>vega</w:t>
            </w:r>
            <w:proofErr w:type="spellEnd"/>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nu poate fi calculat în conformitate cu prezentul alineat, cerința de</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capital privind alte riscuri decât riscul delta se calculează în conformitate</w:t>
            </w:r>
            <w:r w:rsidR="00A45A84">
              <w:rPr>
                <w:rFonts w:ascii="Times New Roman" w:hAnsi="Times New Roman" w:cs="Times New Roman"/>
                <w:color w:val="000000" w:themeColor="text1"/>
                <w:lang w:val="ro-MD"/>
              </w:rPr>
              <w:t xml:space="preserve"> </w:t>
            </w:r>
            <w:r w:rsidRPr="006315B0">
              <w:rPr>
                <w:rFonts w:ascii="Times New Roman" w:hAnsi="Times New Roman" w:cs="Times New Roman"/>
                <w:color w:val="000000" w:themeColor="text1"/>
                <w:lang w:val="ro-MD"/>
              </w:rPr>
              <w:t>cu alineatul (3).</w:t>
            </w:r>
          </w:p>
        </w:tc>
        <w:tc>
          <w:tcPr>
            <w:tcW w:w="1692" w:type="pct"/>
          </w:tcPr>
          <w:p w14:paraId="6291D756" w14:textId="7427B0B2" w:rsidR="006315B0" w:rsidRPr="006315B0" w:rsidRDefault="00F83CD8" w:rsidP="00A45A84">
            <w:pPr>
              <w:spacing w:line="240" w:lineRule="auto"/>
              <w:jc w:val="both"/>
              <w:rPr>
                <w:rFonts w:ascii="Times New Roman" w:hAnsi="Times New Roman" w:cs="Times New Roman"/>
                <w:color w:val="000000" w:themeColor="text1"/>
                <w:lang w:val="ro-MD"/>
              </w:rPr>
            </w:pPr>
            <w:bookmarkStart w:id="20" w:name="_Hlk224659941"/>
            <w:r>
              <w:rPr>
                <w:rFonts w:ascii="Times New Roman" w:hAnsi="Times New Roman" w:cs="Times New Roman"/>
                <w:color w:val="000000" w:themeColor="text1"/>
                <w:lang w:val="ro-MD"/>
              </w:rPr>
              <w:t>13.</w:t>
            </w:r>
            <w:r w:rsidR="00A45A84" w:rsidRPr="006315B0">
              <w:rPr>
                <w:rFonts w:ascii="Times New Roman" w:hAnsi="Times New Roman" w:cs="Times New Roman"/>
                <w:color w:val="000000" w:themeColor="text1"/>
                <w:lang w:val="ro-MD"/>
              </w:rPr>
              <w:t xml:space="preserve"> Valoarea pentru gamma și </w:t>
            </w:r>
            <w:proofErr w:type="spellStart"/>
            <w:r w:rsidR="00A45A84" w:rsidRPr="006315B0">
              <w:rPr>
                <w:rFonts w:ascii="Times New Roman" w:hAnsi="Times New Roman" w:cs="Times New Roman"/>
                <w:color w:val="000000" w:themeColor="text1"/>
                <w:lang w:val="ro-MD"/>
              </w:rPr>
              <w:t>vega</w:t>
            </w:r>
            <w:proofErr w:type="spellEnd"/>
            <w:r w:rsidR="00A45A84" w:rsidRPr="006315B0">
              <w:rPr>
                <w:rFonts w:ascii="Times New Roman" w:hAnsi="Times New Roman" w:cs="Times New Roman"/>
                <w:color w:val="000000" w:themeColor="text1"/>
                <w:lang w:val="ro-MD"/>
              </w:rPr>
              <w:t xml:space="preserve"> utilizată în calcularea cerințelor</w:t>
            </w:r>
            <w:r w:rsidR="00A45A84">
              <w:rPr>
                <w:rFonts w:ascii="Times New Roman" w:hAnsi="Times New Roman" w:cs="Times New Roman"/>
                <w:color w:val="000000" w:themeColor="text1"/>
                <w:lang w:val="ro-MD"/>
              </w:rPr>
              <w:t xml:space="preserve"> </w:t>
            </w:r>
            <w:r w:rsidR="00A45A84" w:rsidRPr="006315B0">
              <w:rPr>
                <w:rFonts w:ascii="Times New Roman" w:hAnsi="Times New Roman" w:cs="Times New Roman"/>
                <w:color w:val="000000" w:themeColor="text1"/>
                <w:lang w:val="ro-MD"/>
              </w:rPr>
              <w:t>de fonduri proprii se calculează utilizând un model corespunzător de</w:t>
            </w:r>
            <w:r w:rsidR="00A45A84">
              <w:rPr>
                <w:rFonts w:ascii="Times New Roman" w:hAnsi="Times New Roman" w:cs="Times New Roman"/>
                <w:color w:val="000000" w:themeColor="text1"/>
                <w:lang w:val="ro-MD"/>
              </w:rPr>
              <w:t xml:space="preserve"> </w:t>
            </w:r>
            <w:r w:rsidR="00A45A84" w:rsidRPr="006315B0">
              <w:rPr>
                <w:rFonts w:ascii="Times New Roman" w:hAnsi="Times New Roman" w:cs="Times New Roman"/>
                <w:color w:val="000000" w:themeColor="text1"/>
                <w:lang w:val="ro-MD"/>
              </w:rPr>
              <w:t>stabilire a prețului, astfel cum se menționează la</w:t>
            </w:r>
            <w:r w:rsidR="00222DAD">
              <w:rPr>
                <w:rFonts w:ascii="Times New Roman" w:hAnsi="Times New Roman" w:cs="Times New Roman"/>
                <w:color w:val="000000" w:themeColor="text1"/>
                <w:lang w:val="ro-MD"/>
              </w:rPr>
              <w:t>pct.</w:t>
            </w:r>
            <w:r w:rsidR="00222DAD" w:rsidRPr="00222DAD">
              <w:rPr>
                <w:rFonts w:ascii="Times New Roman" w:hAnsi="Times New Roman" w:cs="Times New Roman"/>
                <w:color w:val="000000" w:themeColor="text1"/>
                <w:lang w:val="ro-MD"/>
              </w:rPr>
              <w:t>423</w:t>
            </w:r>
            <w:r w:rsidR="00A45A84" w:rsidRPr="002D32DD">
              <w:rPr>
                <w:rFonts w:ascii="Times New Roman" w:hAnsi="Times New Roman" w:cs="Times New Roman"/>
                <w:color w:val="000000" w:themeColor="text1"/>
                <w:lang w:val="ro-MD"/>
              </w:rPr>
              <w:t xml:space="preserve">, la </w:t>
            </w:r>
            <w:bookmarkStart w:id="21" w:name="_Hlk224737252"/>
            <w:r w:rsidR="00376CC1" w:rsidRPr="00D14BD5">
              <w:rPr>
                <w:rFonts w:ascii="Times New Roman" w:hAnsi="Times New Roman" w:cs="Times New Roman"/>
                <w:color w:val="000000" w:themeColor="text1"/>
                <w:lang w:val="ro-MD"/>
              </w:rPr>
              <w:t>pct.496-499</w:t>
            </w:r>
            <w:r w:rsidR="00A45A84" w:rsidRPr="002D32DD">
              <w:rPr>
                <w:rFonts w:ascii="Times New Roman" w:hAnsi="Times New Roman" w:cs="Times New Roman"/>
                <w:color w:val="000000" w:themeColor="text1"/>
                <w:lang w:val="ro-MD"/>
              </w:rPr>
              <w:t xml:space="preserve"> </w:t>
            </w:r>
            <w:bookmarkEnd w:id="21"/>
            <w:r w:rsidR="00A45A84" w:rsidRPr="002D32DD">
              <w:rPr>
                <w:rFonts w:ascii="Times New Roman" w:hAnsi="Times New Roman" w:cs="Times New Roman"/>
                <w:color w:val="000000" w:themeColor="text1"/>
                <w:lang w:val="ro-MD"/>
              </w:rPr>
              <w:t xml:space="preserve">și la </w:t>
            </w:r>
            <w:r w:rsidR="002D32DD" w:rsidRPr="00D14BD5">
              <w:rPr>
                <w:rFonts w:ascii="Times New Roman" w:hAnsi="Times New Roman" w:cs="Times New Roman"/>
                <w:color w:val="000000" w:themeColor="text1"/>
                <w:lang w:val="ro-MD"/>
              </w:rPr>
              <w:t>pct.521-522</w:t>
            </w:r>
            <w:r w:rsidR="00A45A84" w:rsidRPr="002D32DD">
              <w:rPr>
                <w:rFonts w:ascii="Times New Roman" w:hAnsi="Times New Roman" w:cs="Times New Roman"/>
                <w:color w:val="000000" w:themeColor="text1"/>
                <w:lang w:val="ro-MD"/>
              </w:rPr>
              <w:t xml:space="preserve"> din Regulamentul</w:t>
            </w:r>
            <w:r w:rsidR="00A45A84" w:rsidRPr="00222DAD">
              <w:rPr>
                <w:rFonts w:ascii="Times New Roman" w:hAnsi="Times New Roman" w:cs="Times New Roman"/>
                <w:color w:val="000000" w:themeColor="text1"/>
                <w:lang w:val="ro-MD"/>
              </w:rPr>
              <w:t xml:space="preserve"> </w:t>
            </w:r>
            <w:proofErr w:type="spellStart"/>
            <w:r w:rsidR="00222DAD" w:rsidRPr="00222DAD">
              <w:rPr>
                <w:rFonts w:ascii="Times New Roman" w:hAnsi="Times New Roman" w:cs="Times New Roman"/>
                <w:color w:val="000000" w:themeColor="text1"/>
                <w:lang w:val="ro-MD"/>
              </w:rPr>
              <w:t>nr</w:t>
            </w:r>
            <w:r w:rsidR="00222DAD">
              <w:rPr>
                <w:rFonts w:ascii="Times New Roman" w:hAnsi="Times New Roman" w:cs="Times New Roman"/>
                <w:color w:val="000000" w:themeColor="text1"/>
                <w:lang w:val="ro-MD"/>
              </w:rPr>
              <w:t>.XX</w:t>
            </w:r>
            <w:proofErr w:type="spellEnd"/>
            <w:r w:rsidR="00222DAD">
              <w:rPr>
                <w:rFonts w:ascii="Times New Roman" w:hAnsi="Times New Roman" w:cs="Times New Roman"/>
                <w:color w:val="000000" w:themeColor="text1"/>
                <w:lang w:val="ro-MD"/>
              </w:rPr>
              <w:t>/2026</w:t>
            </w:r>
            <w:r w:rsidR="00A45A84" w:rsidRPr="006315B0">
              <w:rPr>
                <w:rFonts w:ascii="Times New Roman" w:hAnsi="Times New Roman" w:cs="Times New Roman"/>
                <w:color w:val="000000" w:themeColor="text1"/>
                <w:lang w:val="ro-MD"/>
              </w:rPr>
              <w:t xml:space="preserve">. În cazul în care fie gamma, fie </w:t>
            </w:r>
            <w:proofErr w:type="spellStart"/>
            <w:r w:rsidR="00A45A84" w:rsidRPr="006315B0">
              <w:rPr>
                <w:rFonts w:ascii="Times New Roman" w:hAnsi="Times New Roman" w:cs="Times New Roman"/>
                <w:color w:val="000000" w:themeColor="text1"/>
                <w:lang w:val="ro-MD"/>
              </w:rPr>
              <w:t>vega</w:t>
            </w:r>
            <w:proofErr w:type="spellEnd"/>
            <w:r w:rsidR="00A45A84">
              <w:rPr>
                <w:rFonts w:ascii="Times New Roman" w:hAnsi="Times New Roman" w:cs="Times New Roman"/>
                <w:color w:val="000000" w:themeColor="text1"/>
                <w:lang w:val="ro-MD"/>
              </w:rPr>
              <w:t xml:space="preserve"> </w:t>
            </w:r>
            <w:r w:rsidR="00A45A84" w:rsidRPr="006315B0">
              <w:rPr>
                <w:rFonts w:ascii="Times New Roman" w:hAnsi="Times New Roman" w:cs="Times New Roman"/>
                <w:color w:val="000000" w:themeColor="text1"/>
                <w:lang w:val="ro-MD"/>
              </w:rPr>
              <w:t xml:space="preserve">nu poate fi calculat în conformitate cu prezentul </w:t>
            </w:r>
            <w:r w:rsidR="00DF51CD">
              <w:rPr>
                <w:rFonts w:ascii="Times New Roman" w:hAnsi="Times New Roman" w:cs="Times New Roman"/>
                <w:color w:val="000000" w:themeColor="text1"/>
                <w:lang w:val="ro-MD"/>
              </w:rPr>
              <w:t>punct</w:t>
            </w:r>
            <w:r w:rsidR="00A45A84" w:rsidRPr="006315B0">
              <w:rPr>
                <w:rFonts w:ascii="Times New Roman" w:hAnsi="Times New Roman" w:cs="Times New Roman"/>
                <w:color w:val="000000" w:themeColor="text1"/>
                <w:lang w:val="ro-MD"/>
              </w:rPr>
              <w:t>, cerința de</w:t>
            </w:r>
            <w:r w:rsidR="00A45A84">
              <w:rPr>
                <w:rFonts w:ascii="Times New Roman" w:hAnsi="Times New Roman" w:cs="Times New Roman"/>
                <w:color w:val="000000" w:themeColor="text1"/>
                <w:lang w:val="ro-MD"/>
              </w:rPr>
              <w:t xml:space="preserve"> </w:t>
            </w:r>
            <w:r w:rsidR="00A45A84" w:rsidRPr="006315B0">
              <w:rPr>
                <w:rFonts w:ascii="Times New Roman" w:hAnsi="Times New Roman" w:cs="Times New Roman"/>
                <w:color w:val="000000" w:themeColor="text1"/>
                <w:lang w:val="ro-MD"/>
              </w:rPr>
              <w:t>capital privind alte riscuri decât riscul delta se calculează în conformitate</w:t>
            </w:r>
            <w:r w:rsidR="00A45A84">
              <w:rPr>
                <w:rFonts w:ascii="Times New Roman" w:hAnsi="Times New Roman" w:cs="Times New Roman"/>
                <w:color w:val="000000" w:themeColor="text1"/>
                <w:lang w:val="ro-MD"/>
              </w:rPr>
              <w:t xml:space="preserve"> </w:t>
            </w:r>
            <w:r w:rsidR="00A45A84" w:rsidRPr="006315B0">
              <w:rPr>
                <w:rFonts w:ascii="Times New Roman" w:hAnsi="Times New Roman" w:cs="Times New Roman"/>
                <w:color w:val="000000" w:themeColor="text1"/>
                <w:lang w:val="ro-MD"/>
              </w:rPr>
              <w:t xml:space="preserve">cu </w:t>
            </w:r>
            <w:r w:rsidR="00DF51CD">
              <w:rPr>
                <w:rFonts w:ascii="Times New Roman" w:hAnsi="Times New Roman" w:cs="Times New Roman"/>
                <w:color w:val="000000" w:themeColor="text1"/>
                <w:lang w:val="ro-MD"/>
              </w:rPr>
              <w:t>pct.12</w:t>
            </w:r>
            <w:r w:rsidR="00A45A84" w:rsidRPr="006315B0">
              <w:rPr>
                <w:rFonts w:ascii="Times New Roman" w:hAnsi="Times New Roman" w:cs="Times New Roman"/>
                <w:color w:val="000000" w:themeColor="text1"/>
                <w:lang w:val="ro-MD"/>
              </w:rPr>
              <w:t>.</w:t>
            </w:r>
            <w:bookmarkEnd w:id="20"/>
          </w:p>
        </w:tc>
        <w:tc>
          <w:tcPr>
            <w:tcW w:w="450" w:type="pct"/>
          </w:tcPr>
          <w:p w14:paraId="305EA4DB"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0FFEF0E3"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426BE47E"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6315B0" w:rsidRPr="00F650AB" w14:paraId="1DA7863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07BCDCF" w14:textId="6929AD10" w:rsidR="006315B0" w:rsidRPr="006315B0" w:rsidRDefault="00A45A84" w:rsidP="00A45A84">
            <w:pPr>
              <w:spacing w:line="276" w:lineRule="auto"/>
              <w:jc w:val="both"/>
              <w:rPr>
                <w:rFonts w:ascii="Times New Roman" w:hAnsi="Times New Roman" w:cs="Times New Roman"/>
                <w:color w:val="000000" w:themeColor="text1"/>
                <w:lang w:val="ro-MD"/>
              </w:rPr>
            </w:pPr>
            <w:r w:rsidRPr="00A45A84">
              <w:rPr>
                <w:rFonts w:ascii="Times New Roman" w:hAnsi="Times New Roman" w:cs="Times New Roman"/>
                <w:i/>
                <w:iCs/>
                <w:color w:val="000000" w:themeColor="text1"/>
                <w:lang w:val="ro-MD"/>
              </w:rPr>
              <w:t>Articolul 5</w:t>
            </w:r>
            <w:r>
              <w:rPr>
                <w:rFonts w:ascii="Times New Roman" w:hAnsi="Times New Roman" w:cs="Times New Roman"/>
                <w:color w:val="000000" w:themeColor="text1"/>
                <w:lang w:val="ro-MD"/>
              </w:rPr>
              <w:t xml:space="preserve"> </w:t>
            </w:r>
            <w:r w:rsidRPr="00A45A84">
              <w:rPr>
                <w:rFonts w:ascii="Times New Roman" w:hAnsi="Times New Roman" w:cs="Times New Roman"/>
                <w:b/>
                <w:bCs/>
                <w:color w:val="000000" w:themeColor="text1"/>
                <w:lang w:val="ro-MD"/>
              </w:rPr>
              <w:t>Determinarea cerințelor de fonduri proprii pentru riscul gamma în conformitate cu abordarea delta-plus</w:t>
            </w:r>
          </w:p>
        </w:tc>
        <w:tc>
          <w:tcPr>
            <w:tcW w:w="1692" w:type="pct"/>
          </w:tcPr>
          <w:p w14:paraId="189358F1" w14:textId="43D373BD" w:rsidR="006315B0" w:rsidRPr="006315B0" w:rsidRDefault="00DF51CD" w:rsidP="006315B0">
            <w:pPr>
              <w:spacing w:line="276" w:lineRule="auto"/>
              <w:jc w:val="both"/>
              <w:rPr>
                <w:rFonts w:ascii="Times New Roman" w:hAnsi="Times New Roman" w:cs="Times New Roman"/>
                <w:color w:val="000000" w:themeColor="text1"/>
                <w:lang w:val="ro-MD"/>
              </w:rPr>
            </w:pPr>
            <w:bookmarkStart w:id="22" w:name="_Hlk224659973"/>
            <w:r>
              <w:rPr>
                <w:rFonts w:ascii="Times New Roman" w:hAnsi="Times New Roman" w:cs="Times New Roman"/>
                <w:i/>
                <w:iCs/>
                <w:color w:val="000000" w:themeColor="text1"/>
                <w:lang w:val="ro-MD"/>
              </w:rPr>
              <w:t>Secțiunea 4.</w:t>
            </w:r>
            <w:r w:rsidR="0025359F">
              <w:rPr>
                <w:rFonts w:ascii="Times New Roman" w:hAnsi="Times New Roman" w:cs="Times New Roman"/>
                <w:color w:val="000000" w:themeColor="text1"/>
                <w:lang w:val="ro-MD"/>
              </w:rPr>
              <w:t xml:space="preserve"> </w:t>
            </w:r>
            <w:r w:rsidR="0025359F" w:rsidRPr="00A45A84">
              <w:rPr>
                <w:rFonts w:ascii="Times New Roman" w:hAnsi="Times New Roman" w:cs="Times New Roman"/>
                <w:b/>
                <w:bCs/>
                <w:color w:val="000000" w:themeColor="text1"/>
                <w:lang w:val="ro-MD"/>
              </w:rPr>
              <w:t>Determinarea cerințelor de fonduri proprii pentru riscul gamma în conformitate cu abordarea delta-plus</w:t>
            </w:r>
            <w:bookmarkEnd w:id="22"/>
          </w:p>
        </w:tc>
        <w:tc>
          <w:tcPr>
            <w:tcW w:w="450" w:type="pct"/>
          </w:tcPr>
          <w:p w14:paraId="67C7C7C0"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76470569"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2710A2" w:rsidRPr="002710A2" w14:paraId="0F223407" w14:textId="77777777" w:rsidTr="0021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2"/>
        </w:trPr>
        <w:tc>
          <w:tcPr>
            <w:tcW w:w="1597" w:type="pct"/>
          </w:tcPr>
          <w:p w14:paraId="0F98F9B7"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lastRenderedPageBreak/>
              <w:t>(1) În sensul articolului 4 alineatul (1) litera (a), cerințele de fonduri</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proprii pentru riscul gamma se calculează printr-un proces constând în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următoarea succesiune de etape:</w:t>
            </w:r>
          </w:p>
          <w:p w14:paraId="7AB0ADFB"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 xml:space="preserve">(a) pentru fiecare opțiune individuală sau </w:t>
            </w:r>
            <w:proofErr w:type="spellStart"/>
            <w:r w:rsidRPr="0025359F">
              <w:rPr>
                <w:rFonts w:ascii="Times New Roman" w:hAnsi="Times New Roman" w:cs="Times New Roman"/>
                <w:color w:val="000000" w:themeColor="text1"/>
                <w:lang w:val="ro-MD"/>
              </w:rPr>
              <w:t>warrant</w:t>
            </w:r>
            <w:proofErr w:type="spellEnd"/>
            <w:r w:rsidRPr="0025359F">
              <w:rPr>
                <w:rFonts w:ascii="Times New Roman" w:hAnsi="Times New Roman" w:cs="Times New Roman"/>
                <w:color w:val="000000" w:themeColor="text1"/>
                <w:lang w:val="ro-MD"/>
              </w:rPr>
              <w:t xml:space="preserve"> individual, se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calculează impactul gamma;</w:t>
            </w:r>
          </w:p>
          <w:p w14:paraId="670F617B"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 xml:space="preserve">(b) impacturile gamma ale opțiunilor sau ale </w:t>
            </w:r>
            <w:proofErr w:type="spellStart"/>
            <w:r w:rsidRPr="0025359F">
              <w:rPr>
                <w:rFonts w:ascii="Times New Roman" w:hAnsi="Times New Roman" w:cs="Times New Roman"/>
                <w:color w:val="000000" w:themeColor="text1"/>
                <w:lang w:val="ro-MD"/>
              </w:rPr>
              <w:t>warranturilor</w:t>
            </w:r>
            <w:proofErr w:type="spellEnd"/>
            <w:r w:rsidRPr="0025359F">
              <w:rPr>
                <w:rFonts w:ascii="Times New Roman" w:hAnsi="Times New Roman" w:cs="Times New Roman"/>
                <w:color w:val="000000" w:themeColor="text1"/>
                <w:lang w:val="ro-MD"/>
              </w:rPr>
              <w:t xml:space="preserve"> individuale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care se referă la același tip de suport distinct se adună;</w:t>
            </w:r>
          </w:p>
          <w:p w14:paraId="4270F0C6" w14:textId="541B89B8"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(c) valoarea absolută a sumei tuturor valorilor negative care rezultă din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etapa de la litera (b) furnizează cerințele de fonduri proprii pentru</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riscul gamma. Valorile pozitive care rezultă din etapa de la litera (b)</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nu se iau în considerare.</w:t>
            </w:r>
          </w:p>
        </w:tc>
        <w:tc>
          <w:tcPr>
            <w:tcW w:w="1692" w:type="pct"/>
          </w:tcPr>
          <w:p w14:paraId="5DD6A645" w14:textId="1A6DFEB0" w:rsidR="002710A2" w:rsidRPr="006315B0" w:rsidRDefault="002710A2" w:rsidP="0025359F">
            <w:pPr>
              <w:spacing w:line="240" w:lineRule="auto"/>
              <w:jc w:val="both"/>
              <w:rPr>
                <w:rFonts w:ascii="Times New Roman" w:hAnsi="Times New Roman" w:cs="Times New Roman"/>
                <w:color w:val="000000" w:themeColor="text1"/>
                <w:lang w:val="ro-MD"/>
              </w:rPr>
            </w:pPr>
            <w:bookmarkStart w:id="23" w:name="_Hlk224659997"/>
            <w:r>
              <w:rPr>
                <w:rFonts w:ascii="Times New Roman" w:hAnsi="Times New Roman" w:cs="Times New Roman"/>
                <w:color w:val="000000" w:themeColor="text1"/>
                <w:lang w:val="ro-MD"/>
              </w:rPr>
              <w:t>14.</w:t>
            </w:r>
            <w:r w:rsidRPr="0025359F">
              <w:rPr>
                <w:rFonts w:ascii="Times New Roman" w:hAnsi="Times New Roman" w:cs="Times New Roman"/>
                <w:color w:val="000000" w:themeColor="text1"/>
                <w:lang w:val="ro-MD"/>
              </w:rPr>
              <w:t xml:space="preserve"> În sensul </w:t>
            </w:r>
            <w:r>
              <w:rPr>
                <w:rFonts w:ascii="Times New Roman" w:hAnsi="Times New Roman" w:cs="Times New Roman"/>
                <w:color w:val="000000" w:themeColor="text1"/>
                <w:lang w:val="ro-MD"/>
              </w:rPr>
              <w:t>subpct.10.1</w:t>
            </w:r>
            <w:r w:rsidRPr="0025359F">
              <w:rPr>
                <w:rFonts w:ascii="Times New Roman" w:hAnsi="Times New Roman" w:cs="Times New Roman"/>
                <w:color w:val="000000" w:themeColor="text1"/>
                <w:lang w:val="ro-MD"/>
              </w:rPr>
              <w:t>, cerințele de fonduri</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proprii pentru riscul gamma se calculează printr-un proces constând în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următoarea succesiune de etape:</w:t>
            </w:r>
          </w:p>
          <w:p w14:paraId="0EB57C5C" w14:textId="08D06901"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14.1.</w:t>
            </w:r>
            <w:r w:rsidRPr="0025359F">
              <w:rPr>
                <w:rFonts w:ascii="Times New Roman" w:hAnsi="Times New Roman" w:cs="Times New Roman"/>
                <w:color w:val="000000" w:themeColor="text1"/>
                <w:lang w:val="ro-MD"/>
              </w:rPr>
              <w:t xml:space="preserve"> pentru fiecare opțiune individuală sau </w:t>
            </w:r>
            <w:proofErr w:type="spellStart"/>
            <w:r w:rsidRPr="0025359F">
              <w:rPr>
                <w:rFonts w:ascii="Times New Roman" w:hAnsi="Times New Roman" w:cs="Times New Roman"/>
                <w:color w:val="000000" w:themeColor="text1"/>
                <w:lang w:val="ro-MD"/>
              </w:rPr>
              <w:t>warrant</w:t>
            </w:r>
            <w:proofErr w:type="spellEnd"/>
            <w:r w:rsidRPr="0025359F">
              <w:rPr>
                <w:rFonts w:ascii="Times New Roman" w:hAnsi="Times New Roman" w:cs="Times New Roman"/>
                <w:color w:val="000000" w:themeColor="text1"/>
                <w:lang w:val="ro-MD"/>
              </w:rPr>
              <w:t xml:space="preserve"> individual, se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calculează impactul gamma;</w:t>
            </w:r>
          </w:p>
          <w:p w14:paraId="6370A059" w14:textId="3E58EE48"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14.2.</w:t>
            </w:r>
            <w:r w:rsidRPr="0025359F">
              <w:rPr>
                <w:rFonts w:ascii="Times New Roman" w:hAnsi="Times New Roman" w:cs="Times New Roman"/>
                <w:color w:val="000000" w:themeColor="text1"/>
                <w:lang w:val="ro-MD"/>
              </w:rPr>
              <w:t xml:space="preserve"> impacturile gamma ale opțiunilor sau ale </w:t>
            </w:r>
            <w:proofErr w:type="spellStart"/>
            <w:r w:rsidRPr="0025359F">
              <w:rPr>
                <w:rFonts w:ascii="Times New Roman" w:hAnsi="Times New Roman" w:cs="Times New Roman"/>
                <w:color w:val="000000" w:themeColor="text1"/>
                <w:lang w:val="ro-MD"/>
              </w:rPr>
              <w:t>warranturilor</w:t>
            </w:r>
            <w:proofErr w:type="spellEnd"/>
            <w:r w:rsidRPr="0025359F">
              <w:rPr>
                <w:rFonts w:ascii="Times New Roman" w:hAnsi="Times New Roman" w:cs="Times New Roman"/>
                <w:color w:val="000000" w:themeColor="text1"/>
                <w:lang w:val="ro-MD"/>
              </w:rPr>
              <w:t xml:space="preserve"> individuale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care se referă la același tip de suport distinct se adună;</w:t>
            </w:r>
          </w:p>
          <w:p w14:paraId="01D1BA6B" w14:textId="0B0AF0AE"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14.3.</w:t>
            </w:r>
            <w:r w:rsidRPr="0025359F">
              <w:rPr>
                <w:rFonts w:ascii="Times New Roman" w:hAnsi="Times New Roman" w:cs="Times New Roman"/>
                <w:color w:val="000000" w:themeColor="text1"/>
                <w:lang w:val="ro-MD"/>
              </w:rPr>
              <w:t xml:space="preserve"> valoarea absolută a sumei tuturor valorilor negative care rezultă din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etapa de la </w:t>
            </w:r>
            <w:r>
              <w:rPr>
                <w:rFonts w:ascii="Times New Roman" w:hAnsi="Times New Roman" w:cs="Times New Roman"/>
                <w:color w:val="000000" w:themeColor="text1"/>
                <w:lang w:val="ro-MD"/>
              </w:rPr>
              <w:t>subpct.14.2</w:t>
            </w:r>
            <w:r w:rsidRPr="0025359F">
              <w:rPr>
                <w:rFonts w:ascii="Times New Roman" w:hAnsi="Times New Roman" w:cs="Times New Roman"/>
                <w:color w:val="000000" w:themeColor="text1"/>
                <w:lang w:val="ro-MD"/>
              </w:rPr>
              <w:t xml:space="preserve"> furnizează cerințele de fonduri proprii pentru</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riscul gamma. Valorile pozitive care rezultă din etapa de la </w:t>
            </w:r>
            <w:r w:rsidRPr="001B1ED2">
              <w:rPr>
                <w:rFonts w:ascii="Times New Roman" w:hAnsi="Times New Roman" w:cs="Times New Roman"/>
                <w:color w:val="000000" w:themeColor="text1"/>
                <w:lang w:val="ro-MD"/>
              </w:rPr>
              <w:t xml:space="preserve">subpct.14.2 </w:t>
            </w:r>
            <w:r w:rsidRPr="0025359F">
              <w:rPr>
                <w:rFonts w:ascii="Times New Roman" w:hAnsi="Times New Roman" w:cs="Times New Roman"/>
                <w:color w:val="000000" w:themeColor="text1"/>
                <w:lang w:val="ro-MD"/>
              </w:rPr>
              <w:t>nu se iau în considerare.</w:t>
            </w:r>
            <w:bookmarkEnd w:id="23"/>
          </w:p>
        </w:tc>
        <w:tc>
          <w:tcPr>
            <w:tcW w:w="450" w:type="pct"/>
          </w:tcPr>
          <w:p w14:paraId="16D860B6"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65E95038" w14:textId="77777777" w:rsidR="002710A2" w:rsidRPr="00C25E6D" w:rsidRDefault="002710A2" w:rsidP="0025359F">
            <w:pPr>
              <w:spacing w:line="276" w:lineRule="auto"/>
              <w:rPr>
                <w:rFonts w:ascii="Times New Roman" w:hAnsi="Times New Roman" w:cs="Times New Roman"/>
                <w:color w:val="000000" w:themeColor="text1"/>
                <w:lang w:val="ro-MD"/>
              </w:rPr>
            </w:pPr>
          </w:p>
        </w:tc>
        <w:tc>
          <w:tcPr>
            <w:tcW w:w="1261" w:type="pct"/>
          </w:tcPr>
          <w:p w14:paraId="42B75AC6" w14:textId="77777777" w:rsidR="002710A2" w:rsidRPr="00C25E6D" w:rsidRDefault="002710A2" w:rsidP="0025359F">
            <w:pPr>
              <w:spacing w:line="276" w:lineRule="auto"/>
              <w:rPr>
                <w:rFonts w:ascii="Times New Roman" w:hAnsi="Times New Roman" w:cs="Times New Roman"/>
                <w:color w:val="000000" w:themeColor="text1"/>
                <w:lang w:val="ro-MD"/>
              </w:rPr>
            </w:pPr>
          </w:p>
        </w:tc>
      </w:tr>
      <w:tr w:rsidR="0025359F" w:rsidRPr="006315B0" w14:paraId="5522730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633BBE20" w14:textId="57F22380" w:rsidR="0025359F" w:rsidRPr="006315B0" w:rsidRDefault="0025359F"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(2) Pentru etapa de la alineatul (1) litera (a), impacturile gamma se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calculează în conformitate cu formula descrisă în anexa I.</w:t>
            </w:r>
          </w:p>
        </w:tc>
        <w:tc>
          <w:tcPr>
            <w:tcW w:w="1692" w:type="pct"/>
          </w:tcPr>
          <w:p w14:paraId="05F9B98E" w14:textId="759FE6BD" w:rsidR="0025359F" w:rsidRPr="006315B0" w:rsidRDefault="001B1ED2" w:rsidP="0025359F">
            <w:pPr>
              <w:spacing w:line="240" w:lineRule="auto"/>
              <w:jc w:val="both"/>
              <w:rPr>
                <w:rFonts w:ascii="Times New Roman" w:hAnsi="Times New Roman" w:cs="Times New Roman"/>
                <w:color w:val="000000" w:themeColor="text1"/>
                <w:lang w:val="ro-MD"/>
              </w:rPr>
            </w:pPr>
            <w:bookmarkStart w:id="24" w:name="_Hlk224660017"/>
            <w:r>
              <w:rPr>
                <w:rFonts w:ascii="Times New Roman" w:hAnsi="Times New Roman" w:cs="Times New Roman"/>
                <w:color w:val="000000" w:themeColor="text1"/>
                <w:lang w:val="ro-MD"/>
              </w:rPr>
              <w:t>15.</w:t>
            </w:r>
            <w:r w:rsidR="0025359F" w:rsidRPr="0025359F">
              <w:rPr>
                <w:rFonts w:ascii="Times New Roman" w:hAnsi="Times New Roman" w:cs="Times New Roman"/>
                <w:color w:val="000000" w:themeColor="text1"/>
                <w:lang w:val="ro-MD"/>
              </w:rPr>
              <w:t xml:space="preserve"> Pentru etapa de la </w:t>
            </w:r>
            <w:r w:rsidRPr="001B1ED2">
              <w:rPr>
                <w:rFonts w:ascii="Times New Roman" w:hAnsi="Times New Roman" w:cs="Times New Roman"/>
                <w:color w:val="000000" w:themeColor="text1"/>
                <w:lang w:val="ro-MD"/>
              </w:rPr>
              <w:t>subpct.14.</w:t>
            </w:r>
            <w:r>
              <w:rPr>
                <w:rFonts w:ascii="Times New Roman" w:hAnsi="Times New Roman" w:cs="Times New Roman"/>
                <w:color w:val="000000" w:themeColor="text1"/>
                <w:lang w:val="ro-MD"/>
              </w:rPr>
              <w:t>1</w:t>
            </w:r>
            <w:r w:rsidR="0025359F" w:rsidRPr="0025359F">
              <w:rPr>
                <w:rFonts w:ascii="Times New Roman" w:hAnsi="Times New Roman" w:cs="Times New Roman"/>
                <w:color w:val="000000" w:themeColor="text1"/>
                <w:lang w:val="ro-MD"/>
              </w:rPr>
              <w:t>, impacturile gamma se</w:t>
            </w:r>
            <w:r w:rsidR="0025359F">
              <w:rPr>
                <w:rFonts w:ascii="Times New Roman" w:hAnsi="Times New Roman" w:cs="Times New Roman"/>
                <w:color w:val="000000" w:themeColor="text1"/>
                <w:lang w:val="ro-MD"/>
              </w:rPr>
              <w:t xml:space="preserve"> </w:t>
            </w:r>
            <w:r w:rsidR="0025359F" w:rsidRPr="0025359F">
              <w:rPr>
                <w:rFonts w:ascii="Times New Roman" w:hAnsi="Times New Roman" w:cs="Times New Roman"/>
                <w:color w:val="000000" w:themeColor="text1"/>
                <w:lang w:val="ro-MD"/>
              </w:rPr>
              <w:t xml:space="preserve">calculează în conformitate cu formula descrisă în </w:t>
            </w:r>
            <w:r>
              <w:rPr>
                <w:rFonts w:ascii="Times New Roman" w:hAnsi="Times New Roman" w:cs="Times New Roman"/>
                <w:color w:val="000000" w:themeColor="text1"/>
                <w:lang w:val="ro-MD"/>
              </w:rPr>
              <w:t>tabelul nr.1</w:t>
            </w:r>
            <w:r w:rsidR="0025359F" w:rsidRPr="0025359F">
              <w:rPr>
                <w:rFonts w:ascii="Times New Roman" w:hAnsi="Times New Roman" w:cs="Times New Roman"/>
                <w:color w:val="000000" w:themeColor="text1"/>
                <w:lang w:val="ro-MD"/>
              </w:rPr>
              <w:t>.</w:t>
            </w:r>
            <w:bookmarkEnd w:id="24"/>
          </w:p>
        </w:tc>
        <w:tc>
          <w:tcPr>
            <w:tcW w:w="450" w:type="pct"/>
          </w:tcPr>
          <w:p w14:paraId="5E4F5294" w14:textId="77777777" w:rsidR="00CF31B6" w:rsidRPr="00C25E6D" w:rsidRDefault="00CF31B6" w:rsidP="00CF31B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58502D96" w14:textId="77777777" w:rsidR="0025359F" w:rsidRPr="00C25E6D" w:rsidRDefault="0025359F" w:rsidP="0025359F">
            <w:pPr>
              <w:spacing w:line="276" w:lineRule="auto"/>
              <w:rPr>
                <w:rFonts w:ascii="Times New Roman" w:hAnsi="Times New Roman" w:cs="Times New Roman"/>
                <w:color w:val="000000" w:themeColor="text1"/>
                <w:lang w:val="ro-MD"/>
              </w:rPr>
            </w:pPr>
          </w:p>
        </w:tc>
        <w:tc>
          <w:tcPr>
            <w:tcW w:w="1261" w:type="pct"/>
          </w:tcPr>
          <w:p w14:paraId="16F1CBC1" w14:textId="77777777" w:rsidR="0025359F" w:rsidRPr="00C25E6D" w:rsidRDefault="0025359F" w:rsidP="0025359F">
            <w:pPr>
              <w:spacing w:line="276" w:lineRule="auto"/>
              <w:rPr>
                <w:rFonts w:ascii="Times New Roman" w:hAnsi="Times New Roman" w:cs="Times New Roman"/>
                <w:color w:val="000000" w:themeColor="text1"/>
                <w:lang w:val="ro-MD"/>
              </w:rPr>
            </w:pPr>
          </w:p>
        </w:tc>
      </w:tr>
      <w:tr w:rsidR="002710A2" w:rsidRPr="002710A2" w14:paraId="6ECCE36E" w14:textId="77777777" w:rsidTr="00AF4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8"/>
        </w:trPr>
        <w:tc>
          <w:tcPr>
            <w:tcW w:w="1597" w:type="pct"/>
          </w:tcPr>
          <w:p w14:paraId="59A7B46A"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lastRenderedPageBreak/>
              <w:t>(3) Pentru etapa de la alineatul (1) litera (b), un tip de suport distinct</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este:</w:t>
            </w:r>
          </w:p>
          <w:p w14:paraId="11C13149"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(a) pentru ratele dobânzii în aceeași monedă: fiecare bandă de scadență,</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astfel cum este stabilită în tabelul 2 de la articolul 339 din Regulamentul</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(UE) nr. 575/2013;</w:t>
            </w:r>
          </w:p>
          <w:p w14:paraId="3B8C6AC7"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(b) pentru titluri de capital și indici bursieri: fiecare piață, astfel cum</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este definită în normele care urmează să fie elaborate în temeiul</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articolului 341 alineatul (3) din Regulamentul (UE) nr. 575/2013;</w:t>
            </w:r>
          </w:p>
          <w:p w14:paraId="14E9230C" w14:textId="77777777"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(c) pentru valută și aur: fiecare pereche valutară și aurul;</w:t>
            </w:r>
          </w:p>
          <w:p w14:paraId="0178DE06" w14:textId="4EF2332A" w:rsidR="002710A2" w:rsidRPr="006315B0" w:rsidRDefault="002710A2" w:rsidP="0025359F">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(d) pentru mărfuri: mărfurile considerate identice, astfel cum sunt</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definite la articolul 357 alineatul (4) din Regulamentul (UE)</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nr. 575/2013.</w:t>
            </w:r>
          </w:p>
        </w:tc>
        <w:tc>
          <w:tcPr>
            <w:tcW w:w="1692" w:type="pct"/>
          </w:tcPr>
          <w:p w14:paraId="37F4A5BA" w14:textId="480C1C74" w:rsidR="002710A2" w:rsidRPr="006315B0" w:rsidRDefault="002710A2" w:rsidP="0025359F">
            <w:pPr>
              <w:spacing w:line="240" w:lineRule="auto"/>
              <w:jc w:val="both"/>
              <w:rPr>
                <w:rFonts w:ascii="Times New Roman" w:hAnsi="Times New Roman" w:cs="Times New Roman"/>
                <w:color w:val="000000" w:themeColor="text1"/>
                <w:lang w:val="ro-MD"/>
              </w:rPr>
            </w:pPr>
            <w:bookmarkStart w:id="25" w:name="_Hlk224712648"/>
            <w:r w:rsidRPr="001E4BBF">
              <w:rPr>
                <w:rFonts w:ascii="Times New Roman" w:hAnsi="Times New Roman" w:cs="Times New Roman"/>
                <w:color w:val="000000" w:themeColor="text1"/>
                <w:lang w:val="ro-MD"/>
              </w:rPr>
              <w:t>16. Pentru etapa de la subpct.14.2, un tip de suport distinct este:</w:t>
            </w:r>
          </w:p>
          <w:p w14:paraId="3F869355" w14:textId="585A3723"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16.1.</w:t>
            </w:r>
            <w:r w:rsidRPr="0025359F">
              <w:rPr>
                <w:rFonts w:ascii="Times New Roman" w:hAnsi="Times New Roman" w:cs="Times New Roman"/>
                <w:color w:val="000000" w:themeColor="text1"/>
                <w:lang w:val="ro-MD"/>
              </w:rPr>
              <w:t xml:space="preserve"> pentru ratele dobânzii în aceeași monedă: fiecare bandă de scadență,</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astfel cum este stabilită </w:t>
            </w:r>
            <w:r w:rsidRPr="00CC1692">
              <w:rPr>
                <w:rFonts w:ascii="Times New Roman" w:hAnsi="Times New Roman" w:cs="Times New Roman"/>
                <w:color w:val="000000" w:themeColor="text1"/>
                <w:lang w:val="ro-MD"/>
              </w:rPr>
              <w:t xml:space="preserve">în tabelul 2 de la 2013titlul II, capitolul IV, secțiunea 2, subsecțiunea 2, paragraful 1 din Regulamentul </w:t>
            </w:r>
            <w:proofErr w:type="spellStart"/>
            <w:r w:rsidRPr="00CC1692">
              <w:rPr>
                <w:rFonts w:ascii="Times New Roman" w:hAnsi="Times New Roman" w:cs="Times New Roman"/>
                <w:color w:val="000000" w:themeColor="text1"/>
                <w:lang w:val="ro-MD"/>
              </w:rPr>
              <w:t>nr.XX</w:t>
            </w:r>
            <w:proofErr w:type="spellEnd"/>
            <w:r w:rsidRPr="00CC1692">
              <w:rPr>
                <w:rFonts w:ascii="Times New Roman" w:hAnsi="Times New Roman" w:cs="Times New Roman"/>
                <w:color w:val="000000" w:themeColor="text1"/>
                <w:lang w:val="ro-MD"/>
              </w:rPr>
              <w:t>/2026;</w:t>
            </w:r>
          </w:p>
          <w:p w14:paraId="28CEF7A7" w14:textId="1DFCDA5E"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16.2.</w:t>
            </w:r>
            <w:r w:rsidRPr="0025359F">
              <w:rPr>
                <w:rFonts w:ascii="Times New Roman" w:hAnsi="Times New Roman" w:cs="Times New Roman"/>
                <w:color w:val="000000" w:themeColor="text1"/>
                <w:lang w:val="ro-MD"/>
              </w:rPr>
              <w:t xml:space="preserve"> pentru titluri de capital și indici bursieri: fiecare piață, astfel cum</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este definită </w:t>
            </w:r>
            <w:r w:rsidR="00D17D4A">
              <w:rPr>
                <w:rFonts w:ascii="Times New Roman" w:hAnsi="Times New Roman" w:cs="Times New Roman"/>
                <w:color w:val="000000" w:themeColor="text1"/>
                <w:lang w:val="ro-MD"/>
              </w:rPr>
              <w:t xml:space="preserve">la </w:t>
            </w:r>
            <w:r w:rsidR="00D17D4A" w:rsidRPr="00D17D4A">
              <w:rPr>
                <w:rFonts w:ascii="Times New Roman" w:hAnsi="Times New Roman" w:cs="Times New Roman"/>
                <w:color w:val="000000" w:themeColor="text1"/>
                <w:lang w:val="ro-MD"/>
              </w:rPr>
              <w:t xml:space="preserve">pct.469 din Regulamentul </w:t>
            </w:r>
            <w:proofErr w:type="spellStart"/>
            <w:r w:rsidR="00D17D4A" w:rsidRPr="00D17D4A">
              <w:rPr>
                <w:rFonts w:ascii="Times New Roman" w:hAnsi="Times New Roman" w:cs="Times New Roman"/>
                <w:color w:val="000000" w:themeColor="text1"/>
                <w:lang w:val="ro-MD"/>
              </w:rPr>
              <w:t>nr.XX</w:t>
            </w:r>
            <w:proofErr w:type="spellEnd"/>
            <w:r w:rsidR="00D17D4A" w:rsidRPr="00D17D4A">
              <w:rPr>
                <w:rFonts w:ascii="Times New Roman" w:hAnsi="Times New Roman" w:cs="Times New Roman"/>
                <w:color w:val="000000" w:themeColor="text1"/>
                <w:lang w:val="ro-MD"/>
              </w:rPr>
              <w:t>/2026</w:t>
            </w:r>
            <w:r w:rsidRPr="00D17D4A">
              <w:rPr>
                <w:rFonts w:ascii="Times New Roman" w:hAnsi="Times New Roman" w:cs="Times New Roman"/>
                <w:color w:val="000000" w:themeColor="text1"/>
                <w:lang w:val="ro-MD"/>
              </w:rPr>
              <w:t>;</w:t>
            </w:r>
          </w:p>
          <w:p w14:paraId="26FF77FE" w14:textId="0852096A"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16.3.</w:t>
            </w:r>
            <w:r w:rsidRPr="0025359F">
              <w:rPr>
                <w:rFonts w:ascii="Times New Roman" w:hAnsi="Times New Roman" w:cs="Times New Roman"/>
                <w:color w:val="000000" w:themeColor="text1"/>
                <w:lang w:val="ro-MD"/>
              </w:rPr>
              <w:t xml:space="preserve"> pentru valută și aur: fiecare pereche valutară și aurul;</w:t>
            </w:r>
          </w:p>
          <w:p w14:paraId="14EA3EAF" w14:textId="03F45963" w:rsidR="002710A2" w:rsidRPr="006315B0" w:rsidRDefault="002710A2" w:rsidP="0025359F">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16.4.</w:t>
            </w:r>
            <w:r w:rsidRPr="0025359F">
              <w:rPr>
                <w:rFonts w:ascii="Times New Roman" w:hAnsi="Times New Roman" w:cs="Times New Roman"/>
                <w:color w:val="000000" w:themeColor="text1"/>
                <w:lang w:val="ro-MD"/>
              </w:rPr>
              <w:t xml:space="preserve"> pentru mărfuri: mărfurile considerate identice, astfel cum sunt</w:t>
            </w:r>
            <w:r>
              <w:rPr>
                <w:rFonts w:ascii="Times New Roman" w:hAnsi="Times New Roman" w:cs="Times New Roman"/>
                <w:color w:val="000000" w:themeColor="text1"/>
                <w:lang w:val="ro-MD"/>
              </w:rPr>
              <w:t xml:space="preserve"> </w:t>
            </w:r>
            <w:r w:rsidRPr="00D17D4A">
              <w:rPr>
                <w:rFonts w:ascii="Times New Roman" w:hAnsi="Times New Roman" w:cs="Times New Roman"/>
                <w:color w:val="000000" w:themeColor="text1"/>
                <w:lang w:val="ro-MD"/>
              </w:rPr>
              <w:t xml:space="preserve">definite la </w:t>
            </w:r>
            <w:r w:rsidR="00D17D4A" w:rsidRPr="00D17D4A">
              <w:rPr>
                <w:rFonts w:ascii="Times New Roman" w:hAnsi="Times New Roman" w:cs="Times New Roman"/>
                <w:color w:val="000000" w:themeColor="text1"/>
                <w:lang w:val="ro-MD"/>
              </w:rPr>
              <w:t>pct</w:t>
            </w:r>
            <w:r w:rsidR="00D17D4A">
              <w:rPr>
                <w:rFonts w:ascii="Times New Roman" w:hAnsi="Times New Roman" w:cs="Times New Roman"/>
                <w:color w:val="000000" w:themeColor="text1"/>
                <w:lang w:val="ro-MD"/>
              </w:rPr>
              <w:t xml:space="preserve">.518 din Regulamentul </w:t>
            </w:r>
            <w:proofErr w:type="spellStart"/>
            <w:r w:rsidR="00D17D4A">
              <w:rPr>
                <w:rFonts w:ascii="Times New Roman" w:hAnsi="Times New Roman" w:cs="Times New Roman"/>
                <w:color w:val="000000" w:themeColor="text1"/>
                <w:lang w:val="ro-MD"/>
              </w:rPr>
              <w:t>nr.XX</w:t>
            </w:r>
            <w:proofErr w:type="spellEnd"/>
            <w:r w:rsidR="00D17D4A">
              <w:rPr>
                <w:rFonts w:ascii="Times New Roman" w:hAnsi="Times New Roman" w:cs="Times New Roman"/>
                <w:color w:val="000000" w:themeColor="text1"/>
                <w:lang w:val="ro-MD"/>
              </w:rPr>
              <w:t>/2026</w:t>
            </w:r>
            <w:r w:rsidRPr="0025359F">
              <w:rPr>
                <w:rFonts w:ascii="Times New Roman" w:hAnsi="Times New Roman" w:cs="Times New Roman"/>
                <w:color w:val="000000" w:themeColor="text1"/>
                <w:lang w:val="ro-MD"/>
              </w:rPr>
              <w:t>.</w:t>
            </w:r>
            <w:bookmarkEnd w:id="25"/>
          </w:p>
        </w:tc>
        <w:tc>
          <w:tcPr>
            <w:tcW w:w="450" w:type="pct"/>
          </w:tcPr>
          <w:p w14:paraId="298FA25E" w14:textId="77777777" w:rsidR="00CF31B6" w:rsidRPr="00C25E6D" w:rsidRDefault="00CF31B6" w:rsidP="00CF31B6">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p w14:paraId="79738362" w14:textId="77777777" w:rsidR="002710A2" w:rsidRPr="00C25E6D" w:rsidRDefault="002710A2" w:rsidP="0025359F">
            <w:pPr>
              <w:spacing w:line="276" w:lineRule="auto"/>
              <w:rPr>
                <w:rFonts w:ascii="Times New Roman" w:hAnsi="Times New Roman" w:cs="Times New Roman"/>
                <w:color w:val="000000" w:themeColor="text1"/>
                <w:lang w:val="ro-MD"/>
              </w:rPr>
            </w:pPr>
          </w:p>
        </w:tc>
        <w:tc>
          <w:tcPr>
            <w:tcW w:w="1261" w:type="pct"/>
          </w:tcPr>
          <w:p w14:paraId="5F843AB4" w14:textId="77777777" w:rsidR="002710A2" w:rsidRPr="00C25E6D" w:rsidRDefault="002710A2" w:rsidP="0025359F">
            <w:pPr>
              <w:spacing w:line="276" w:lineRule="auto"/>
              <w:rPr>
                <w:rFonts w:ascii="Times New Roman" w:hAnsi="Times New Roman" w:cs="Times New Roman"/>
                <w:color w:val="000000" w:themeColor="text1"/>
                <w:lang w:val="ro-MD"/>
              </w:rPr>
            </w:pPr>
          </w:p>
        </w:tc>
      </w:tr>
      <w:tr w:rsidR="006315B0" w:rsidRPr="00F650AB" w14:paraId="65979479"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7179621" w14:textId="39783859" w:rsidR="006315B0" w:rsidRPr="0025359F" w:rsidRDefault="0025359F" w:rsidP="0025359F">
            <w:pPr>
              <w:spacing w:line="276" w:lineRule="auto"/>
              <w:jc w:val="both"/>
              <w:rPr>
                <w:rFonts w:ascii="Times New Roman" w:hAnsi="Times New Roman" w:cs="Times New Roman"/>
                <w:i/>
                <w:iCs/>
                <w:color w:val="000000" w:themeColor="text1"/>
                <w:lang w:val="ro-MD"/>
              </w:rPr>
            </w:pPr>
            <w:r w:rsidRPr="0025359F">
              <w:rPr>
                <w:rFonts w:ascii="Times New Roman" w:hAnsi="Times New Roman" w:cs="Times New Roman"/>
                <w:i/>
                <w:iCs/>
                <w:color w:val="000000" w:themeColor="text1"/>
                <w:lang w:val="ro-MD"/>
              </w:rPr>
              <w:t>Articolul 6</w:t>
            </w:r>
            <w:r>
              <w:rPr>
                <w:rFonts w:ascii="Times New Roman" w:hAnsi="Times New Roman" w:cs="Times New Roman"/>
                <w:i/>
                <w:iCs/>
                <w:color w:val="000000" w:themeColor="text1"/>
                <w:lang w:val="ro-MD"/>
              </w:rPr>
              <w:t xml:space="preserve"> </w:t>
            </w:r>
            <w:r w:rsidRPr="0025359F">
              <w:rPr>
                <w:rFonts w:ascii="Times New Roman" w:hAnsi="Times New Roman" w:cs="Times New Roman"/>
                <w:b/>
                <w:bCs/>
                <w:color w:val="000000" w:themeColor="text1"/>
                <w:lang w:val="ro-MD"/>
              </w:rPr>
              <w:t xml:space="preserve">Determinarea cerințelor de fonduri proprii pentru riscul </w:t>
            </w:r>
            <w:proofErr w:type="spellStart"/>
            <w:r w:rsidRPr="0025359F">
              <w:rPr>
                <w:rFonts w:ascii="Times New Roman" w:hAnsi="Times New Roman" w:cs="Times New Roman"/>
                <w:b/>
                <w:bCs/>
                <w:color w:val="000000" w:themeColor="text1"/>
                <w:lang w:val="ro-MD"/>
              </w:rPr>
              <w:t>vega</w:t>
            </w:r>
            <w:proofErr w:type="spellEnd"/>
            <w:r w:rsidRPr="0025359F">
              <w:rPr>
                <w:rFonts w:ascii="Times New Roman" w:hAnsi="Times New Roman" w:cs="Times New Roman"/>
                <w:b/>
                <w:bCs/>
                <w:color w:val="000000" w:themeColor="text1"/>
                <w:lang w:val="ro-MD"/>
              </w:rPr>
              <w:t xml:space="preserve"> în conformitate cu abordarea delta-plus</w:t>
            </w:r>
          </w:p>
        </w:tc>
        <w:tc>
          <w:tcPr>
            <w:tcW w:w="1692" w:type="pct"/>
          </w:tcPr>
          <w:p w14:paraId="6EE73C44" w14:textId="764B7EE9" w:rsidR="006315B0" w:rsidRPr="006315B0" w:rsidRDefault="001B1ED2" w:rsidP="006315B0">
            <w:pPr>
              <w:spacing w:line="276" w:lineRule="auto"/>
              <w:jc w:val="both"/>
              <w:rPr>
                <w:rFonts w:ascii="Times New Roman" w:hAnsi="Times New Roman" w:cs="Times New Roman"/>
                <w:color w:val="000000" w:themeColor="text1"/>
                <w:lang w:val="ro-MD"/>
              </w:rPr>
            </w:pPr>
            <w:bookmarkStart w:id="26" w:name="_Hlk224712710"/>
            <w:r>
              <w:rPr>
                <w:rFonts w:ascii="Times New Roman" w:hAnsi="Times New Roman" w:cs="Times New Roman"/>
                <w:i/>
                <w:iCs/>
                <w:color w:val="000000" w:themeColor="text1"/>
                <w:lang w:val="ro-MD"/>
              </w:rPr>
              <w:t>Secțiunea 5.</w:t>
            </w:r>
            <w:r w:rsidR="0025359F">
              <w:rPr>
                <w:rFonts w:ascii="Times New Roman" w:hAnsi="Times New Roman" w:cs="Times New Roman"/>
                <w:i/>
                <w:iCs/>
                <w:color w:val="000000" w:themeColor="text1"/>
                <w:lang w:val="ro-MD"/>
              </w:rPr>
              <w:t xml:space="preserve"> </w:t>
            </w:r>
            <w:r w:rsidR="0025359F" w:rsidRPr="0025359F">
              <w:rPr>
                <w:rFonts w:ascii="Times New Roman" w:hAnsi="Times New Roman" w:cs="Times New Roman"/>
                <w:b/>
                <w:bCs/>
                <w:color w:val="000000" w:themeColor="text1"/>
                <w:lang w:val="ro-MD"/>
              </w:rPr>
              <w:t xml:space="preserve">Determinarea cerințelor de fonduri proprii pentru riscul </w:t>
            </w:r>
            <w:proofErr w:type="spellStart"/>
            <w:r w:rsidR="0025359F" w:rsidRPr="0025359F">
              <w:rPr>
                <w:rFonts w:ascii="Times New Roman" w:hAnsi="Times New Roman" w:cs="Times New Roman"/>
                <w:b/>
                <w:bCs/>
                <w:color w:val="000000" w:themeColor="text1"/>
                <w:lang w:val="ro-MD"/>
              </w:rPr>
              <w:t>vega</w:t>
            </w:r>
            <w:proofErr w:type="spellEnd"/>
            <w:r w:rsidR="0025359F" w:rsidRPr="0025359F">
              <w:rPr>
                <w:rFonts w:ascii="Times New Roman" w:hAnsi="Times New Roman" w:cs="Times New Roman"/>
                <w:b/>
                <w:bCs/>
                <w:color w:val="000000" w:themeColor="text1"/>
                <w:lang w:val="ro-MD"/>
              </w:rPr>
              <w:t xml:space="preserve"> în conformitate cu abordarea delta-plus</w:t>
            </w:r>
            <w:bookmarkEnd w:id="26"/>
          </w:p>
        </w:tc>
        <w:tc>
          <w:tcPr>
            <w:tcW w:w="450" w:type="pct"/>
          </w:tcPr>
          <w:p w14:paraId="37FFEA19" w14:textId="77777777" w:rsidR="006315B0" w:rsidRPr="00C25E6D" w:rsidRDefault="006315B0" w:rsidP="00E30760">
            <w:pPr>
              <w:spacing w:line="276" w:lineRule="auto"/>
              <w:rPr>
                <w:rFonts w:ascii="Times New Roman" w:hAnsi="Times New Roman" w:cs="Times New Roman"/>
                <w:color w:val="000000" w:themeColor="text1"/>
                <w:lang w:val="ro-MD"/>
              </w:rPr>
            </w:pPr>
          </w:p>
        </w:tc>
        <w:tc>
          <w:tcPr>
            <w:tcW w:w="1261" w:type="pct"/>
          </w:tcPr>
          <w:p w14:paraId="6FC4A269" w14:textId="77777777" w:rsidR="006315B0" w:rsidRPr="00C25E6D" w:rsidRDefault="006315B0" w:rsidP="00E30760">
            <w:pPr>
              <w:spacing w:line="276" w:lineRule="auto"/>
              <w:rPr>
                <w:rFonts w:ascii="Times New Roman" w:hAnsi="Times New Roman" w:cs="Times New Roman"/>
                <w:color w:val="000000" w:themeColor="text1"/>
                <w:lang w:val="ro-MD"/>
              </w:rPr>
            </w:pPr>
          </w:p>
        </w:tc>
      </w:tr>
      <w:tr w:rsidR="002710A2" w:rsidRPr="002710A2" w14:paraId="1EB43266"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vMerge w:val="restart"/>
          </w:tcPr>
          <w:p w14:paraId="3F8DF961" w14:textId="77777777"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În sensul articolului 4 alineatul (1) litera (b), cerința de fonduri proprii</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pentru riscul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 xml:space="preserve"> se calculează printr-un proces constând în următoarea</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succesiune de etape:</w:t>
            </w:r>
          </w:p>
          <w:p w14:paraId="44A4D6BB" w14:textId="77777777"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 xml:space="preserve">(a) pentru fiecare opțiune individuală, se determină valoarea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w:t>
            </w:r>
          </w:p>
          <w:p w14:paraId="02CE8B45" w14:textId="77777777"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(b) pentru fiecare opțiune individuală, se calculează un decalaj presupus</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de plus/minus 25 % în volatilitatea implicită, care este înțeleasă în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modul descris la articolul 4 alineatul (2);</w:t>
            </w:r>
          </w:p>
          <w:p w14:paraId="48C1868B" w14:textId="77777777"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 xml:space="preserve">(c) pentru fiecare opțiune individuală, valoarea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 xml:space="preserve"> care rezultă din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etapa de la litera (a) se înmulțește cu decalajul presupus în volatilitatea</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implicită care rezultă din etapa de la litera (b);</w:t>
            </w:r>
          </w:p>
          <w:p w14:paraId="43537058" w14:textId="77777777"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(d) pentru fiecare tip de activ distinct, înțeles în modul descris la</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articolul 5 alineatul (3), valorile care rezultă din etapa de la </w:t>
            </w:r>
            <w:proofErr w:type="spellStart"/>
            <w:r w:rsidRPr="0025359F">
              <w:rPr>
                <w:rFonts w:ascii="Times New Roman" w:hAnsi="Times New Roman" w:cs="Times New Roman"/>
                <w:color w:val="000000" w:themeColor="text1"/>
                <w:lang w:val="ro-MD"/>
              </w:rPr>
              <w:t>liter</w:t>
            </w:r>
            <w:proofErr w:type="spellEnd"/>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(c) se adună;</w:t>
            </w:r>
          </w:p>
          <w:p w14:paraId="5A7C2E4F" w14:textId="7309B562" w:rsidR="002710A2" w:rsidRPr="006315B0" w:rsidRDefault="002710A2" w:rsidP="009E3C37">
            <w:pPr>
              <w:spacing w:line="240" w:lineRule="auto"/>
              <w:jc w:val="both"/>
              <w:rPr>
                <w:rFonts w:ascii="Times New Roman" w:hAnsi="Times New Roman" w:cs="Times New Roman"/>
                <w:color w:val="000000" w:themeColor="text1"/>
                <w:lang w:val="ro-MD"/>
              </w:rPr>
            </w:pPr>
            <w:r w:rsidRPr="0025359F">
              <w:rPr>
                <w:rFonts w:ascii="Times New Roman" w:hAnsi="Times New Roman" w:cs="Times New Roman"/>
                <w:color w:val="000000" w:themeColor="text1"/>
                <w:lang w:val="ro-MD"/>
              </w:rPr>
              <w:t>(e) suma valorilor absolute care rezultă din etapa de la litera (d)</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furnizează cerința totală de fonduri proprii pentru riscul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w:t>
            </w:r>
          </w:p>
        </w:tc>
        <w:tc>
          <w:tcPr>
            <w:tcW w:w="1692" w:type="pct"/>
            <w:vMerge w:val="restart"/>
          </w:tcPr>
          <w:p w14:paraId="4D03609E" w14:textId="4E473392" w:rsidR="002710A2" w:rsidRPr="006315B0" w:rsidRDefault="002710A2" w:rsidP="009E3C37">
            <w:pPr>
              <w:spacing w:line="240" w:lineRule="auto"/>
              <w:jc w:val="both"/>
              <w:rPr>
                <w:rFonts w:ascii="Times New Roman" w:hAnsi="Times New Roman" w:cs="Times New Roman"/>
                <w:color w:val="000000" w:themeColor="text1"/>
                <w:lang w:val="ro-MD"/>
              </w:rPr>
            </w:pPr>
            <w:bookmarkStart w:id="27" w:name="_Hlk224713059"/>
            <w:r>
              <w:rPr>
                <w:rFonts w:ascii="Times New Roman" w:hAnsi="Times New Roman" w:cs="Times New Roman"/>
                <w:color w:val="000000" w:themeColor="text1"/>
                <w:lang w:val="ro-MD"/>
              </w:rPr>
              <w:t xml:space="preserve">17. </w:t>
            </w:r>
            <w:r w:rsidRPr="0025359F">
              <w:rPr>
                <w:rFonts w:ascii="Times New Roman" w:hAnsi="Times New Roman" w:cs="Times New Roman"/>
                <w:color w:val="000000" w:themeColor="text1"/>
                <w:lang w:val="ro-MD"/>
              </w:rPr>
              <w:t xml:space="preserve">În sensul </w:t>
            </w:r>
            <w:r w:rsidRPr="001B1ED2">
              <w:rPr>
                <w:rFonts w:ascii="Times New Roman" w:hAnsi="Times New Roman" w:cs="Times New Roman"/>
                <w:color w:val="000000" w:themeColor="text1"/>
                <w:lang w:val="ro-MD"/>
              </w:rPr>
              <w:t>subpct.10.</w:t>
            </w:r>
            <w:r>
              <w:rPr>
                <w:rFonts w:ascii="Times New Roman" w:hAnsi="Times New Roman" w:cs="Times New Roman"/>
                <w:color w:val="000000" w:themeColor="text1"/>
                <w:lang w:val="ro-MD"/>
              </w:rPr>
              <w:t>2</w:t>
            </w:r>
            <w:r w:rsidRPr="0025359F">
              <w:rPr>
                <w:rFonts w:ascii="Times New Roman" w:hAnsi="Times New Roman" w:cs="Times New Roman"/>
                <w:color w:val="000000" w:themeColor="text1"/>
                <w:lang w:val="ro-MD"/>
              </w:rPr>
              <w:t>, cerința de fonduri proprii</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pentru riscul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 xml:space="preserve"> se calculează printr-un proces constând în următoarea</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succesiune de etape:</w:t>
            </w:r>
          </w:p>
          <w:p w14:paraId="159E7E3E" w14:textId="1C925789" w:rsidR="002710A2" w:rsidRPr="006315B0" w:rsidRDefault="002710A2" w:rsidP="009E3C3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17.1.</w:t>
            </w:r>
            <w:r w:rsidRPr="0025359F">
              <w:rPr>
                <w:rFonts w:ascii="Times New Roman" w:hAnsi="Times New Roman" w:cs="Times New Roman"/>
                <w:color w:val="000000" w:themeColor="text1"/>
                <w:lang w:val="ro-MD"/>
              </w:rPr>
              <w:t xml:space="preserve"> pentru fiecare opțiune individuală, se determină valoarea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w:t>
            </w:r>
          </w:p>
          <w:p w14:paraId="7C5DD920" w14:textId="48A9EDEF" w:rsidR="002710A2" w:rsidRPr="006315B0" w:rsidRDefault="002710A2" w:rsidP="009E3C3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17.2.</w:t>
            </w:r>
            <w:r w:rsidRPr="0025359F">
              <w:rPr>
                <w:rFonts w:ascii="Times New Roman" w:hAnsi="Times New Roman" w:cs="Times New Roman"/>
                <w:color w:val="000000" w:themeColor="text1"/>
                <w:lang w:val="ro-MD"/>
              </w:rPr>
              <w:t xml:space="preserve"> pentru fiecare opțiune individuală, se calculează un decalaj presupus</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de plus/minus 25 % în volatilitatea implicită, care este înțeleasă în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modul descris la </w:t>
            </w:r>
            <w:r>
              <w:rPr>
                <w:rFonts w:ascii="Times New Roman" w:hAnsi="Times New Roman" w:cs="Times New Roman"/>
                <w:color w:val="000000" w:themeColor="text1"/>
                <w:lang w:val="ro-MD"/>
              </w:rPr>
              <w:t>pct.11</w:t>
            </w:r>
            <w:r w:rsidRPr="0025359F">
              <w:rPr>
                <w:rFonts w:ascii="Times New Roman" w:hAnsi="Times New Roman" w:cs="Times New Roman"/>
                <w:color w:val="000000" w:themeColor="text1"/>
                <w:lang w:val="ro-MD"/>
              </w:rPr>
              <w:t>;</w:t>
            </w:r>
          </w:p>
          <w:p w14:paraId="375FA134" w14:textId="5C83B644" w:rsidR="002710A2" w:rsidRPr="006315B0" w:rsidRDefault="002710A2" w:rsidP="009E3C3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17.3.</w:t>
            </w:r>
            <w:r w:rsidRPr="0025359F">
              <w:rPr>
                <w:rFonts w:ascii="Times New Roman" w:hAnsi="Times New Roman" w:cs="Times New Roman"/>
                <w:color w:val="000000" w:themeColor="text1"/>
                <w:lang w:val="ro-MD"/>
              </w:rPr>
              <w:t xml:space="preserve"> pentru fiecare opțiune individuală, valoarea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 xml:space="preserve"> care rezultă din</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 xml:space="preserve">etapa de la </w:t>
            </w:r>
            <w:r>
              <w:rPr>
                <w:rFonts w:ascii="Times New Roman" w:hAnsi="Times New Roman" w:cs="Times New Roman"/>
                <w:color w:val="000000" w:themeColor="text1"/>
                <w:lang w:val="ro-MD"/>
              </w:rPr>
              <w:t>subpct.17.1</w:t>
            </w:r>
            <w:r w:rsidRPr="0025359F">
              <w:rPr>
                <w:rFonts w:ascii="Times New Roman" w:hAnsi="Times New Roman" w:cs="Times New Roman"/>
                <w:color w:val="000000" w:themeColor="text1"/>
                <w:lang w:val="ro-MD"/>
              </w:rPr>
              <w:t xml:space="preserve"> se înmulțește cu decalajul presupus în volatilitatea</w:t>
            </w:r>
            <w:r>
              <w:rPr>
                <w:rFonts w:ascii="Times New Roman" w:hAnsi="Times New Roman" w:cs="Times New Roman"/>
                <w:color w:val="000000" w:themeColor="text1"/>
                <w:lang w:val="ro-MD"/>
              </w:rPr>
              <w:t xml:space="preserve"> </w:t>
            </w:r>
            <w:r w:rsidRPr="0025359F">
              <w:rPr>
                <w:rFonts w:ascii="Times New Roman" w:hAnsi="Times New Roman" w:cs="Times New Roman"/>
                <w:color w:val="000000" w:themeColor="text1"/>
                <w:lang w:val="ro-MD"/>
              </w:rPr>
              <w:t>implicită care rezultă din etapa de la</w:t>
            </w:r>
            <w:r>
              <w:rPr>
                <w:rFonts w:ascii="Times New Roman" w:hAnsi="Times New Roman" w:cs="Times New Roman"/>
                <w:color w:val="000000" w:themeColor="text1"/>
                <w:lang w:val="ro-MD"/>
              </w:rPr>
              <w:t xml:space="preserve"> subpct.17.2</w:t>
            </w:r>
            <w:r w:rsidRPr="0025359F">
              <w:rPr>
                <w:rFonts w:ascii="Times New Roman" w:hAnsi="Times New Roman" w:cs="Times New Roman"/>
                <w:color w:val="000000" w:themeColor="text1"/>
                <w:lang w:val="ro-MD"/>
              </w:rPr>
              <w:t>;</w:t>
            </w:r>
          </w:p>
          <w:p w14:paraId="6AB8160A" w14:textId="21F9E86F" w:rsidR="002710A2" w:rsidRPr="006315B0" w:rsidRDefault="002710A2" w:rsidP="009E3C3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17.4.</w:t>
            </w:r>
            <w:r w:rsidRPr="0025359F">
              <w:rPr>
                <w:rFonts w:ascii="Times New Roman" w:hAnsi="Times New Roman" w:cs="Times New Roman"/>
                <w:color w:val="000000" w:themeColor="text1"/>
                <w:lang w:val="ro-MD"/>
              </w:rPr>
              <w:t xml:space="preserve"> pentru fiecare tip de activ distinct, înțeles în modul descris la</w:t>
            </w:r>
            <w:r>
              <w:rPr>
                <w:rFonts w:ascii="Times New Roman" w:hAnsi="Times New Roman" w:cs="Times New Roman"/>
                <w:color w:val="000000" w:themeColor="text1"/>
                <w:lang w:val="ro-MD"/>
              </w:rPr>
              <w:t>pct.16</w:t>
            </w:r>
            <w:r w:rsidRPr="0025359F">
              <w:rPr>
                <w:rFonts w:ascii="Times New Roman" w:hAnsi="Times New Roman" w:cs="Times New Roman"/>
                <w:color w:val="000000" w:themeColor="text1"/>
                <w:lang w:val="ro-MD"/>
              </w:rPr>
              <w:t xml:space="preserve">, valorile care rezultă din etapa de </w:t>
            </w:r>
            <w:r>
              <w:rPr>
                <w:rFonts w:ascii="Times New Roman" w:hAnsi="Times New Roman" w:cs="Times New Roman"/>
                <w:color w:val="000000" w:themeColor="text1"/>
                <w:lang w:val="ro-MD"/>
              </w:rPr>
              <w:t>subpct.17.3</w:t>
            </w:r>
            <w:r w:rsidRPr="0025359F">
              <w:rPr>
                <w:rFonts w:ascii="Times New Roman" w:hAnsi="Times New Roman" w:cs="Times New Roman"/>
                <w:color w:val="000000" w:themeColor="text1"/>
                <w:lang w:val="ro-MD"/>
              </w:rPr>
              <w:t xml:space="preserve"> se adună;</w:t>
            </w:r>
          </w:p>
          <w:p w14:paraId="69096EB4" w14:textId="1785B567" w:rsidR="002710A2" w:rsidRPr="006315B0" w:rsidRDefault="002710A2" w:rsidP="009E3C3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17.5.</w:t>
            </w:r>
            <w:r w:rsidRPr="0025359F">
              <w:rPr>
                <w:rFonts w:ascii="Times New Roman" w:hAnsi="Times New Roman" w:cs="Times New Roman"/>
                <w:color w:val="000000" w:themeColor="text1"/>
                <w:lang w:val="ro-MD"/>
              </w:rPr>
              <w:t xml:space="preserve"> suma valorilor absolute care rezultă din etapa de la</w:t>
            </w:r>
            <w:r>
              <w:rPr>
                <w:rFonts w:ascii="Times New Roman" w:hAnsi="Times New Roman" w:cs="Times New Roman"/>
                <w:color w:val="000000" w:themeColor="text1"/>
                <w:lang w:val="ro-MD"/>
              </w:rPr>
              <w:t xml:space="preserve">subpct.17.4 </w:t>
            </w:r>
            <w:r w:rsidRPr="0025359F">
              <w:rPr>
                <w:rFonts w:ascii="Times New Roman" w:hAnsi="Times New Roman" w:cs="Times New Roman"/>
                <w:color w:val="000000" w:themeColor="text1"/>
                <w:lang w:val="ro-MD"/>
              </w:rPr>
              <w:t xml:space="preserve">furnizează cerința totală de fonduri proprii pentru riscul </w:t>
            </w:r>
            <w:proofErr w:type="spellStart"/>
            <w:r w:rsidRPr="0025359F">
              <w:rPr>
                <w:rFonts w:ascii="Times New Roman" w:hAnsi="Times New Roman" w:cs="Times New Roman"/>
                <w:color w:val="000000" w:themeColor="text1"/>
                <w:lang w:val="ro-MD"/>
              </w:rPr>
              <w:t>vega</w:t>
            </w:r>
            <w:proofErr w:type="spellEnd"/>
            <w:r w:rsidRPr="0025359F">
              <w:rPr>
                <w:rFonts w:ascii="Times New Roman" w:hAnsi="Times New Roman" w:cs="Times New Roman"/>
                <w:color w:val="000000" w:themeColor="text1"/>
                <w:lang w:val="ro-MD"/>
              </w:rPr>
              <w:t>.</w:t>
            </w:r>
            <w:bookmarkEnd w:id="27"/>
          </w:p>
        </w:tc>
        <w:tc>
          <w:tcPr>
            <w:tcW w:w="450" w:type="pct"/>
          </w:tcPr>
          <w:p w14:paraId="29E8DFB6" w14:textId="77777777" w:rsidR="002710A2" w:rsidRPr="00C25E6D" w:rsidRDefault="002710A2" w:rsidP="009E3C37">
            <w:pPr>
              <w:spacing w:line="276" w:lineRule="auto"/>
              <w:rPr>
                <w:rFonts w:ascii="Times New Roman" w:hAnsi="Times New Roman" w:cs="Times New Roman"/>
                <w:color w:val="000000" w:themeColor="text1"/>
                <w:lang w:val="ro-MD"/>
              </w:rPr>
            </w:pPr>
          </w:p>
        </w:tc>
        <w:tc>
          <w:tcPr>
            <w:tcW w:w="1261" w:type="pct"/>
          </w:tcPr>
          <w:p w14:paraId="65DB074E" w14:textId="77777777" w:rsidR="002710A2" w:rsidRPr="00C25E6D" w:rsidRDefault="002710A2" w:rsidP="009E3C37">
            <w:pPr>
              <w:spacing w:line="276" w:lineRule="auto"/>
              <w:rPr>
                <w:rFonts w:ascii="Times New Roman" w:hAnsi="Times New Roman" w:cs="Times New Roman"/>
                <w:color w:val="000000" w:themeColor="text1"/>
                <w:lang w:val="ro-MD"/>
              </w:rPr>
            </w:pPr>
          </w:p>
        </w:tc>
      </w:tr>
      <w:tr w:rsidR="002710A2" w:rsidRPr="002710A2" w14:paraId="36B8986A" w14:textId="77777777" w:rsidTr="00F41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5"/>
        </w:trPr>
        <w:tc>
          <w:tcPr>
            <w:tcW w:w="1597" w:type="pct"/>
            <w:vMerge/>
          </w:tcPr>
          <w:p w14:paraId="310326F0" w14:textId="5DFFF605" w:rsidR="002710A2" w:rsidRPr="006315B0" w:rsidRDefault="002710A2" w:rsidP="009E3C37">
            <w:pPr>
              <w:spacing w:line="240" w:lineRule="auto"/>
              <w:jc w:val="both"/>
              <w:rPr>
                <w:rFonts w:ascii="Times New Roman" w:hAnsi="Times New Roman" w:cs="Times New Roman"/>
                <w:color w:val="000000" w:themeColor="text1"/>
                <w:lang w:val="ro-MD"/>
              </w:rPr>
            </w:pPr>
          </w:p>
        </w:tc>
        <w:tc>
          <w:tcPr>
            <w:tcW w:w="1692" w:type="pct"/>
            <w:vMerge/>
          </w:tcPr>
          <w:p w14:paraId="60F990DD" w14:textId="41574BCA" w:rsidR="002710A2" w:rsidRPr="006315B0" w:rsidRDefault="002710A2" w:rsidP="009E3C37">
            <w:pPr>
              <w:spacing w:line="240" w:lineRule="auto"/>
              <w:jc w:val="both"/>
              <w:rPr>
                <w:rFonts w:ascii="Times New Roman" w:hAnsi="Times New Roman" w:cs="Times New Roman"/>
                <w:color w:val="000000" w:themeColor="text1"/>
                <w:lang w:val="ro-MD"/>
              </w:rPr>
            </w:pPr>
          </w:p>
        </w:tc>
        <w:tc>
          <w:tcPr>
            <w:tcW w:w="450" w:type="pct"/>
          </w:tcPr>
          <w:p w14:paraId="57FE5983"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613759A8" w14:textId="77777777" w:rsidR="002710A2" w:rsidRPr="00C25E6D" w:rsidRDefault="002710A2" w:rsidP="009E3C37">
            <w:pPr>
              <w:spacing w:line="276" w:lineRule="auto"/>
              <w:rPr>
                <w:rFonts w:ascii="Times New Roman" w:hAnsi="Times New Roman" w:cs="Times New Roman"/>
                <w:color w:val="000000" w:themeColor="text1"/>
                <w:lang w:val="ro-MD"/>
              </w:rPr>
            </w:pPr>
          </w:p>
        </w:tc>
        <w:tc>
          <w:tcPr>
            <w:tcW w:w="1261" w:type="pct"/>
          </w:tcPr>
          <w:p w14:paraId="23776709" w14:textId="77777777" w:rsidR="002710A2" w:rsidRPr="00C25E6D" w:rsidRDefault="002710A2" w:rsidP="009E3C37">
            <w:pPr>
              <w:spacing w:line="276" w:lineRule="auto"/>
              <w:rPr>
                <w:rFonts w:ascii="Times New Roman" w:hAnsi="Times New Roman" w:cs="Times New Roman"/>
                <w:color w:val="000000" w:themeColor="text1"/>
                <w:lang w:val="ro-MD"/>
              </w:rPr>
            </w:pPr>
          </w:p>
        </w:tc>
      </w:tr>
      <w:tr w:rsidR="0025359F" w:rsidRPr="008D74CE" w14:paraId="5BCA2156"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A73017A" w14:textId="5303CD79" w:rsidR="0025359F" w:rsidRPr="006315B0" w:rsidRDefault="002270FA" w:rsidP="002270FA">
            <w:pPr>
              <w:spacing w:line="276" w:lineRule="auto"/>
              <w:jc w:val="both"/>
              <w:rPr>
                <w:rFonts w:ascii="Times New Roman" w:hAnsi="Times New Roman" w:cs="Times New Roman"/>
                <w:color w:val="000000" w:themeColor="text1"/>
                <w:lang w:val="ro-MD"/>
              </w:rPr>
            </w:pPr>
            <w:r w:rsidRPr="002270FA">
              <w:rPr>
                <w:rFonts w:ascii="Times New Roman" w:hAnsi="Times New Roman" w:cs="Times New Roman"/>
                <w:i/>
                <w:iCs/>
                <w:color w:val="000000" w:themeColor="text1"/>
                <w:lang w:val="ro-MD"/>
              </w:rPr>
              <w:t>Articolul 7</w:t>
            </w:r>
            <w:r>
              <w:rPr>
                <w:rFonts w:ascii="Times New Roman" w:hAnsi="Times New Roman" w:cs="Times New Roman"/>
                <w:color w:val="000000" w:themeColor="text1"/>
                <w:lang w:val="ro-MD"/>
              </w:rPr>
              <w:t xml:space="preserve"> </w:t>
            </w:r>
            <w:r w:rsidRPr="002270FA">
              <w:rPr>
                <w:rFonts w:ascii="Times New Roman" w:hAnsi="Times New Roman" w:cs="Times New Roman"/>
                <w:b/>
                <w:bCs/>
                <w:color w:val="000000" w:themeColor="text1"/>
                <w:lang w:val="ro-MD"/>
              </w:rPr>
              <w:t>Condiții de aplicare a abordării bazate pe scenarii</w:t>
            </w:r>
          </w:p>
        </w:tc>
        <w:tc>
          <w:tcPr>
            <w:tcW w:w="1692" w:type="pct"/>
          </w:tcPr>
          <w:p w14:paraId="190C6251" w14:textId="082A1D15" w:rsidR="0025359F" w:rsidRPr="006315B0" w:rsidRDefault="008D74CE" w:rsidP="006315B0">
            <w:pPr>
              <w:spacing w:line="276" w:lineRule="auto"/>
              <w:jc w:val="both"/>
              <w:rPr>
                <w:rFonts w:ascii="Times New Roman" w:hAnsi="Times New Roman" w:cs="Times New Roman"/>
                <w:color w:val="000000" w:themeColor="text1"/>
                <w:lang w:val="ro-MD"/>
              </w:rPr>
            </w:pPr>
            <w:bookmarkStart w:id="28" w:name="_Hlk224713079"/>
            <w:r>
              <w:rPr>
                <w:rFonts w:ascii="Times New Roman" w:hAnsi="Times New Roman" w:cs="Times New Roman"/>
                <w:i/>
                <w:iCs/>
                <w:color w:val="000000" w:themeColor="text1"/>
                <w:lang w:val="ro-MD"/>
              </w:rPr>
              <w:t>Secțiunea 6.</w:t>
            </w:r>
            <w:r w:rsidR="002270FA" w:rsidRPr="008D74CE">
              <w:rPr>
                <w:rFonts w:ascii="Times New Roman" w:hAnsi="Times New Roman" w:cs="Times New Roman"/>
                <w:color w:val="000000" w:themeColor="text1"/>
                <w:lang w:val="ro-MD"/>
              </w:rPr>
              <w:t xml:space="preserve"> </w:t>
            </w:r>
            <w:r w:rsidR="002270FA" w:rsidRPr="008D74CE">
              <w:rPr>
                <w:rFonts w:ascii="Times New Roman" w:hAnsi="Times New Roman" w:cs="Times New Roman"/>
                <w:b/>
                <w:bCs/>
                <w:color w:val="000000" w:themeColor="text1"/>
                <w:lang w:val="ro-MD"/>
              </w:rPr>
              <w:t>Condiții de aplicare a abordării bazate pe scenarii</w:t>
            </w:r>
            <w:bookmarkEnd w:id="28"/>
          </w:p>
        </w:tc>
        <w:tc>
          <w:tcPr>
            <w:tcW w:w="450" w:type="pct"/>
          </w:tcPr>
          <w:p w14:paraId="0B246B5C" w14:textId="77777777" w:rsidR="0025359F" w:rsidRPr="00C25E6D" w:rsidRDefault="0025359F" w:rsidP="00E30760">
            <w:pPr>
              <w:spacing w:line="276" w:lineRule="auto"/>
              <w:rPr>
                <w:rFonts w:ascii="Times New Roman" w:hAnsi="Times New Roman" w:cs="Times New Roman"/>
                <w:color w:val="000000" w:themeColor="text1"/>
                <w:lang w:val="ro-MD"/>
              </w:rPr>
            </w:pPr>
          </w:p>
        </w:tc>
        <w:tc>
          <w:tcPr>
            <w:tcW w:w="1261" w:type="pct"/>
          </w:tcPr>
          <w:p w14:paraId="0F37692A" w14:textId="77777777" w:rsidR="0025359F" w:rsidRPr="00C25E6D" w:rsidRDefault="0025359F" w:rsidP="00E30760">
            <w:pPr>
              <w:spacing w:line="276" w:lineRule="auto"/>
              <w:rPr>
                <w:rFonts w:ascii="Times New Roman" w:hAnsi="Times New Roman" w:cs="Times New Roman"/>
                <w:color w:val="000000" w:themeColor="text1"/>
                <w:lang w:val="ro-MD"/>
              </w:rPr>
            </w:pPr>
          </w:p>
        </w:tc>
      </w:tr>
      <w:tr w:rsidR="002710A2" w:rsidRPr="002710A2" w14:paraId="5BB61B42" w14:textId="77777777" w:rsidTr="00221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3"/>
        </w:trPr>
        <w:tc>
          <w:tcPr>
            <w:tcW w:w="1597" w:type="pct"/>
          </w:tcPr>
          <w:p w14:paraId="697441A8" w14:textId="77777777" w:rsidR="002710A2" w:rsidRPr="00B56E07"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lastRenderedPageBreak/>
              <w:t>Instituțiile pot utiliza abordarea bazată pe scenarii în cazul în care îndeplinesc toate cerințele următoare:</w:t>
            </w:r>
          </w:p>
          <w:p w14:paraId="2C07C0A5" w14:textId="77777777" w:rsidR="002710A2" w:rsidRPr="00B56E07"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(a) au înființat o unitate de control al riscului care monitorizează riscul portofoliului de opțiuni ale instituțiilor și raportează rezultatele conducerii;</w:t>
            </w:r>
          </w:p>
          <w:p w14:paraId="40764206" w14:textId="77777777" w:rsidR="002710A2" w:rsidRPr="00B56E07" w:rsidRDefault="002710A2" w:rsidP="00B56E07">
            <w:pPr>
              <w:autoSpaceDE w:val="0"/>
              <w:autoSpaceDN w:val="0"/>
              <w:adjustRightInd w:val="0"/>
              <w:spacing w:after="0" w:line="240" w:lineRule="auto"/>
              <w:rPr>
                <w:rFonts w:ascii="Times New Roman" w:hAnsi="Times New Roman" w:cs="Times New Roman"/>
                <w:lang w:val="ro-MD"/>
                <w14:ligatures w14:val="standardContextual"/>
              </w:rPr>
            </w:pPr>
            <w:r w:rsidRPr="00B56E07">
              <w:rPr>
                <w:rFonts w:ascii="Times New Roman" w:hAnsi="Times New Roman" w:cs="Times New Roman"/>
                <w:lang w:val="ro-MD"/>
                <w14:ligatures w14:val="standardContextual"/>
              </w:rPr>
              <w:t>(b) au notificat autorităților competente un domeniu de aplicare predefinit al expunerilor care urmează să fie acoperite de această abordare în mod consecvent de-a lungul timpului;</w:t>
            </w:r>
          </w:p>
          <w:p w14:paraId="13CFAFFB" w14:textId="77777777" w:rsidR="002710A2" w:rsidRPr="00B56E07"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(c) integrează rezultatele abordării bazate pe scenarii în rapoartele interne către conducerea instituției.</w:t>
            </w:r>
          </w:p>
          <w:p w14:paraId="15F87E7F" w14:textId="219EF4D2" w:rsidR="002710A2" w:rsidRPr="00B56E07"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În sensul literei (b), instituțiile definesc pozițiile precise care fac obiectul abordării bazate pe scenarii, inclusiv tipul de produs sau biroul și portofoliul identificate, abordarea specifică în materie de gestionare a riscurilor care se aplică pozițiilor respective, aplicația informatică specializată care se aplică pozițiilor respective și justificarea alocării pozițiilor respective abordării bazate pe scenarii, în raport cu pozițiile care sunt alocate altor abordări.</w:t>
            </w:r>
          </w:p>
        </w:tc>
        <w:tc>
          <w:tcPr>
            <w:tcW w:w="1692" w:type="pct"/>
          </w:tcPr>
          <w:p w14:paraId="4FD55C79" w14:textId="34EB5EF1" w:rsidR="002710A2" w:rsidRPr="006315B0" w:rsidRDefault="002710A2" w:rsidP="00B56E07">
            <w:pPr>
              <w:spacing w:line="240" w:lineRule="auto"/>
              <w:jc w:val="both"/>
              <w:rPr>
                <w:rFonts w:ascii="Times New Roman" w:hAnsi="Times New Roman" w:cs="Times New Roman"/>
                <w:color w:val="000000" w:themeColor="text1"/>
                <w:lang w:val="ro-MD"/>
              </w:rPr>
            </w:pPr>
            <w:bookmarkStart w:id="29" w:name="_Hlk224713100"/>
            <w:r>
              <w:rPr>
                <w:rFonts w:ascii="Times New Roman" w:hAnsi="Times New Roman" w:cs="Times New Roman"/>
                <w:color w:val="000000" w:themeColor="text1"/>
                <w:lang w:val="ro-MD"/>
              </w:rPr>
              <w:t>18. Băncile</w:t>
            </w:r>
            <w:r w:rsidRPr="00B56E07">
              <w:rPr>
                <w:rFonts w:ascii="Times New Roman" w:hAnsi="Times New Roman" w:cs="Times New Roman"/>
                <w:color w:val="000000" w:themeColor="text1"/>
                <w:lang w:val="ro-MD"/>
              </w:rPr>
              <w:t xml:space="preserve"> pot utiliza abordarea bazată pe scenarii în cazul în care îndeplinesc toate cerințele următoare:</w:t>
            </w:r>
          </w:p>
          <w:p w14:paraId="47496EC4" w14:textId="33F054EF"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18.1.</w:t>
            </w:r>
            <w:r w:rsidRPr="00B56E07">
              <w:rPr>
                <w:rFonts w:ascii="Times New Roman" w:hAnsi="Times New Roman" w:cs="Times New Roman"/>
                <w:color w:val="000000" w:themeColor="text1"/>
                <w:lang w:val="ro-MD"/>
              </w:rPr>
              <w:t xml:space="preserve"> au înființat o unitate de control al riscului care monitorizează riscul portofoliului de opțiuni ale </w:t>
            </w:r>
            <w:r>
              <w:rPr>
                <w:rFonts w:ascii="Times New Roman" w:hAnsi="Times New Roman" w:cs="Times New Roman"/>
                <w:color w:val="000000" w:themeColor="text1"/>
                <w:lang w:val="ro-MD"/>
              </w:rPr>
              <w:t>băncilor</w:t>
            </w:r>
            <w:r w:rsidRPr="00B56E07">
              <w:rPr>
                <w:rFonts w:ascii="Times New Roman" w:hAnsi="Times New Roman" w:cs="Times New Roman"/>
                <w:color w:val="000000" w:themeColor="text1"/>
                <w:lang w:val="ro-MD"/>
              </w:rPr>
              <w:t xml:space="preserve"> și raportează rezultatele conducerii;</w:t>
            </w:r>
          </w:p>
          <w:p w14:paraId="672B22C0" w14:textId="1292F1CD"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lang w:val="ro-MD"/>
                <w14:ligatures w14:val="standardContextual"/>
              </w:rPr>
              <w:t>18.2.</w:t>
            </w:r>
            <w:r w:rsidRPr="00B56E07">
              <w:rPr>
                <w:rFonts w:ascii="Times New Roman" w:hAnsi="Times New Roman" w:cs="Times New Roman"/>
                <w:lang w:val="ro-MD"/>
                <w14:ligatures w14:val="standardContextual"/>
              </w:rPr>
              <w:t xml:space="preserve"> au notificat </w:t>
            </w:r>
            <w:r>
              <w:rPr>
                <w:rFonts w:ascii="Times New Roman" w:hAnsi="Times New Roman" w:cs="Times New Roman"/>
                <w:lang w:val="ro-MD"/>
                <w14:ligatures w14:val="standardContextual"/>
              </w:rPr>
              <w:t>BNM</w:t>
            </w:r>
            <w:r w:rsidRPr="00B56E07">
              <w:rPr>
                <w:rFonts w:ascii="Times New Roman" w:hAnsi="Times New Roman" w:cs="Times New Roman"/>
                <w:lang w:val="ro-MD"/>
                <w14:ligatures w14:val="standardContextual"/>
              </w:rPr>
              <w:t xml:space="preserve"> un domeniu de aplicare predefinit al expunerilor care urmează să fie acoperite de această abordare în mod consecvent de-a lungul timpului;</w:t>
            </w:r>
          </w:p>
          <w:p w14:paraId="7CE11FE0" w14:textId="4D16C916"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18.3</w:t>
            </w:r>
            <w:r w:rsidRPr="00B56E07">
              <w:rPr>
                <w:rFonts w:ascii="Times New Roman" w:hAnsi="Times New Roman" w:cs="Times New Roman"/>
                <w:color w:val="000000" w:themeColor="text1"/>
                <w:lang w:val="ro-MD"/>
              </w:rPr>
              <w:t xml:space="preserve"> integrează rezultatele abordării bazate pe scenarii în rapoartele interne către conducerea </w:t>
            </w:r>
            <w:r>
              <w:rPr>
                <w:rFonts w:ascii="Times New Roman" w:hAnsi="Times New Roman" w:cs="Times New Roman"/>
                <w:color w:val="000000" w:themeColor="text1"/>
                <w:lang w:val="ro-MD"/>
              </w:rPr>
              <w:t>băncii</w:t>
            </w:r>
            <w:r w:rsidRPr="00B56E07">
              <w:rPr>
                <w:rFonts w:ascii="Times New Roman" w:hAnsi="Times New Roman" w:cs="Times New Roman"/>
                <w:color w:val="000000" w:themeColor="text1"/>
                <w:lang w:val="ro-MD"/>
              </w:rPr>
              <w:t>.</w:t>
            </w:r>
          </w:p>
          <w:p w14:paraId="7919934B" w14:textId="259D4161"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19. </w:t>
            </w:r>
            <w:r w:rsidRPr="00B56E07">
              <w:rPr>
                <w:rFonts w:ascii="Times New Roman" w:hAnsi="Times New Roman" w:cs="Times New Roman"/>
                <w:color w:val="000000" w:themeColor="text1"/>
                <w:lang w:val="ro-MD"/>
              </w:rPr>
              <w:t xml:space="preserve">În sensul </w:t>
            </w:r>
            <w:r>
              <w:rPr>
                <w:rFonts w:ascii="Times New Roman" w:hAnsi="Times New Roman" w:cs="Times New Roman"/>
                <w:color w:val="000000" w:themeColor="text1"/>
                <w:lang w:val="ro-MD"/>
              </w:rPr>
              <w:t>subpct.18.2</w:t>
            </w:r>
            <w:r w:rsidRPr="00B56E07">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B56E07">
              <w:rPr>
                <w:rFonts w:ascii="Times New Roman" w:hAnsi="Times New Roman" w:cs="Times New Roman"/>
                <w:color w:val="000000" w:themeColor="text1"/>
                <w:lang w:val="ro-MD"/>
              </w:rPr>
              <w:t xml:space="preserve"> definesc pozițiile precise care fac obiectul abordării bazate pe scenarii, inclusiv tipul de produs sau biroul și portofoliul identificate, abordarea specifică în materie de gestionare a riscurilor care se aplică pozițiilor respective, aplicația informatică specializată care se aplică pozițiilor respective și justificarea alocării pozițiilor respective abordării bazate pe scenarii, în raport cu pozițiile care sunt alocate altor abordări.</w:t>
            </w:r>
            <w:bookmarkEnd w:id="29"/>
          </w:p>
        </w:tc>
        <w:tc>
          <w:tcPr>
            <w:tcW w:w="450" w:type="pct"/>
          </w:tcPr>
          <w:p w14:paraId="2AD29C7E"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6534972F" w14:textId="77777777" w:rsidR="002710A2" w:rsidRPr="00C25E6D" w:rsidRDefault="002710A2" w:rsidP="00B56E07">
            <w:pPr>
              <w:spacing w:line="276" w:lineRule="auto"/>
              <w:rPr>
                <w:rFonts w:ascii="Times New Roman" w:hAnsi="Times New Roman" w:cs="Times New Roman"/>
                <w:color w:val="000000" w:themeColor="text1"/>
                <w:lang w:val="ro-MD"/>
              </w:rPr>
            </w:pPr>
          </w:p>
        </w:tc>
        <w:tc>
          <w:tcPr>
            <w:tcW w:w="1261" w:type="pct"/>
          </w:tcPr>
          <w:p w14:paraId="2D98D87E" w14:textId="77777777" w:rsidR="002710A2" w:rsidRPr="00C25E6D" w:rsidRDefault="002710A2" w:rsidP="00B56E07">
            <w:pPr>
              <w:spacing w:line="276" w:lineRule="auto"/>
              <w:rPr>
                <w:rFonts w:ascii="Times New Roman" w:hAnsi="Times New Roman" w:cs="Times New Roman"/>
                <w:color w:val="000000" w:themeColor="text1"/>
                <w:lang w:val="ro-MD"/>
              </w:rPr>
            </w:pPr>
          </w:p>
        </w:tc>
      </w:tr>
      <w:tr w:rsidR="009E3C37" w:rsidRPr="00F650AB" w14:paraId="0D175507"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B4E0A42" w14:textId="5B0D7AEA" w:rsidR="009E3C37" w:rsidRPr="006315B0" w:rsidRDefault="00B56E07" w:rsidP="00B56E07">
            <w:pPr>
              <w:spacing w:line="276" w:lineRule="auto"/>
              <w:jc w:val="both"/>
              <w:rPr>
                <w:rFonts w:ascii="Times New Roman" w:hAnsi="Times New Roman" w:cs="Times New Roman"/>
                <w:color w:val="000000" w:themeColor="text1"/>
                <w:lang w:val="ro-MD"/>
              </w:rPr>
            </w:pPr>
            <w:r w:rsidRPr="00B56E07">
              <w:rPr>
                <w:rFonts w:ascii="Times New Roman" w:hAnsi="Times New Roman" w:cs="Times New Roman"/>
                <w:i/>
                <w:iCs/>
                <w:color w:val="000000" w:themeColor="text1"/>
                <w:lang w:val="ro-MD"/>
              </w:rPr>
              <w:t>Articolul 8</w:t>
            </w:r>
            <w:r>
              <w:rPr>
                <w:rFonts w:ascii="Times New Roman" w:hAnsi="Times New Roman" w:cs="Times New Roman"/>
                <w:color w:val="000000" w:themeColor="text1"/>
                <w:lang w:val="ro-MD"/>
              </w:rPr>
              <w:t xml:space="preserve"> </w:t>
            </w:r>
            <w:r w:rsidRPr="00B56E07">
              <w:rPr>
                <w:rFonts w:ascii="Times New Roman" w:hAnsi="Times New Roman" w:cs="Times New Roman"/>
                <w:b/>
                <w:bCs/>
                <w:color w:val="000000" w:themeColor="text1"/>
                <w:lang w:val="ro-MD"/>
              </w:rPr>
              <w:t>Definiția matricei de scenarii în conformitate cu abordarea bazată pe scenarii</w:t>
            </w:r>
          </w:p>
        </w:tc>
        <w:tc>
          <w:tcPr>
            <w:tcW w:w="1692" w:type="pct"/>
          </w:tcPr>
          <w:p w14:paraId="3BEC54CD" w14:textId="1540D4F4" w:rsidR="009E3C37" w:rsidRPr="006315B0" w:rsidRDefault="008A0575" w:rsidP="006315B0">
            <w:pPr>
              <w:spacing w:line="276" w:lineRule="auto"/>
              <w:jc w:val="both"/>
              <w:rPr>
                <w:rFonts w:ascii="Times New Roman" w:hAnsi="Times New Roman" w:cs="Times New Roman"/>
                <w:color w:val="000000" w:themeColor="text1"/>
                <w:lang w:val="ro-MD"/>
              </w:rPr>
            </w:pPr>
            <w:bookmarkStart w:id="30" w:name="_Hlk224713143"/>
            <w:r>
              <w:rPr>
                <w:rFonts w:ascii="Times New Roman" w:hAnsi="Times New Roman" w:cs="Times New Roman"/>
                <w:i/>
                <w:iCs/>
                <w:color w:val="000000" w:themeColor="text1"/>
                <w:lang w:val="ro-MD"/>
              </w:rPr>
              <w:t>Secțiunea 7.</w:t>
            </w:r>
            <w:r w:rsidR="00B56E07">
              <w:rPr>
                <w:rFonts w:ascii="Times New Roman" w:hAnsi="Times New Roman" w:cs="Times New Roman"/>
                <w:color w:val="000000" w:themeColor="text1"/>
                <w:lang w:val="ro-MD"/>
              </w:rPr>
              <w:t xml:space="preserve"> </w:t>
            </w:r>
            <w:r w:rsidR="00B56E07" w:rsidRPr="00B56E07">
              <w:rPr>
                <w:rFonts w:ascii="Times New Roman" w:hAnsi="Times New Roman" w:cs="Times New Roman"/>
                <w:b/>
                <w:bCs/>
                <w:color w:val="000000" w:themeColor="text1"/>
                <w:lang w:val="ro-MD"/>
              </w:rPr>
              <w:t>Definiția matricei de scenarii în conformitate cu abordarea bazată pe scenarii</w:t>
            </w:r>
            <w:bookmarkEnd w:id="30"/>
          </w:p>
        </w:tc>
        <w:tc>
          <w:tcPr>
            <w:tcW w:w="450" w:type="pct"/>
          </w:tcPr>
          <w:p w14:paraId="747E199B" w14:textId="77777777" w:rsidR="009E3C37" w:rsidRPr="00C25E6D" w:rsidRDefault="009E3C37" w:rsidP="00E30760">
            <w:pPr>
              <w:spacing w:line="276" w:lineRule="auto"/>
              <w:rPr>
                <w:rFonts w:ascii="Times New Roman" w:hAnsi="Times New Roman" w:cs="Times New Roman"/>
                <w:color w:val="000000" w:themeColor="text1"/>
                <w:lang w:val="ro-MD"/>
              </w:rPr>
            </w:pPr>
          </w:p>
        </w:tc>
        <w:tc>
          <w:tcPr>
            <w:tcW w:w="1261" w:type="pct"/>
          </w:tcPr>
          <w:p w14:paraId="24A9470C" w14:textId="77777777" w:rsidR="009E3C37" w:rsidRPr="00C25E6D" w:rsidRDefault="009E3C37" w:rsidP="00E30760">
            <w:pPr>
              <w:spacing w:line="276" w:lineRule="auto"/>
              <w:rPr>
                <w:rFonts w:ascii="Times New Roman" w:hAnsi="Times New Roman" w:cs="Times New Roman"/>
                <w:color w:val="000000" w:themeColor="text1"/>
                <w:lang w:val="ro-MD"/>
              </w:rPr>
            </w:pPr>
          </w:p>
        </w:tc>
      </w:tr>
      <w:tr w:rsidR="00B56E07" w:rsidRPr="008D74CE" w14:paraId="258F7E91"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72D59D24" w14:textId="46280FB2" w:rsidR="00B56E07" w:rsidRPr="006315B0" w:rsidRDefault="00B56E07"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lastRenderedPageBreak/>
              <w:t>(1) Pentru fiecare tip de suport distinct, astfel cum este menționat la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articolul 5 alineatul (3), o instituție definește o matrice de scenarii care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conține un set de scenarii.</w:t>
            </w:r>
          </w:p>
        </w:tc>
        <w:tc>
          <w:tcPr>
            <w:tcW w:w="1692" w:type="pct"/>
          </w:tcPr>
          <w:p w14:paraId="07FA728E" w14:textId="6853C003" w:rsidR="00B56E07" w:rsidRPr="006315B0" w:rsidRDefault="008A0575" w:rsidP="00B56E07">
            <w:pPr>
              <w:spacing w:line="240" w:lineRule="auto"/>
              <w:jc w:val="both"/>
              <w:rPr>
                <w:rFonts w:ascii="Times New Roman" w:hAnsi="Times New Roman" w:cs="Times New Roman"/>
                <w:color w:val="000000" w:themeColor="text1"/>
                <w:lang w:val="ro-MD"/>
              </w:rPr>
            </w:pPr>
            <w:bookmarkStart w:id="31" w:name="_Hlk224713174"/>
            <w:r>
              <w:rPr>
                <w:rFonts w:ascii="Times New Roman" w:hAnsi="Times New Roman" w:cs="Times New Roman"/>
                <w:color w:val="000000" w:themeColor="text1"/>
                <w:lang w:val="ro-MD"/>
              </w:rPr>
              <w:t>20.</w:t>
            </w:r>
            <w:r w:rsidR="00B56E07" w:rsidRPr="00B56E07">
              <w:rPr>
                <w:rFonts w:ascii="Times New Roman" w:hAnsi="Times New Roman" w:cs="Times New Roman"/>
                <w:color w:val="000000" w:themeColor="text1"/>
                <w:lang w:val="ro-MD"/>
              </w:rPr>
              <w:t xml:space="preserve"> Pentru fiecare tip de suport distinct, astfel cum este menționat la</w:t>
            </w:r>
            <w:r w:rsidR="00B56E07">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pct.16</w:t>
            </w:r>
            <w:r w:rsidR="00B56E07" w:rsidRPr="00B56E07">
              <w:rPr>
                <w:rFonts w:ascii="Times New Roman" w:hAnsi="Times New Roman" w:cs="Times New Roman"/>
                <w:color w:val="000000" w:themeColor="text1"/>
                <w:lang w:val="ro-MD"/>
              </w:rPr>
              <w:t xml:space="preserve">, o </w:t>
            </w:r>
            <w:r>
              <w:rPr>
                <w:rFonts w:ascii="Times New Roman" w:hAnsi="Times New Roman" w:cs="Times New Roman"/>
                <w:color w:val="000000" w:themeColor="text1"/>
                <w:lang w:val="ro-MD"/>
              </w:rPr>
              <w:t>bancă</w:t>
            </w:r>
            <w:r w:rsidRPr="00B56E07">
              <w:rPr>
                <w:rFonts w:ascii="Times New Roman" w:hAnsi="Times New Roman" w:cs="Times New Roman"/>
                <w:color w:val="000000" w:themeColor="text1"/>
                <w:lang w:val="ro-MD"/>
              </w:rPr>
              <w:t xml:space="preserve"> </w:t>
            </w:r>
            <w:r w:rsidR="00B56E07" w:rsidRPr="00B56E07">
              <w:rPr>
                <w:rFonts w:ascii="Times New Roman" w:hAnsi="Times New Roman" w:cs="Times New Roman"/>
                <w:color w:val="000000" w:themeColor="text1"/>
                <w:lang w:val="ro-MD"/>
              </w:rPr>
              <w:t>definește o matrice de scenarii care</w:t>
            </w:r>
            <w:r w:rsidR="00B56E07">
              <w:rPr>
                <w:rFonts w:ascii="Times New Roman" w:hAnsi="Times New Roman" w:cs="Times New Roman"/>
                <w:color w:val="000000" w:themeColor="text1"/>
                <w:lang w:val="ro-MD"/>
              </w:rPr>
              <w:t xml:space="preserve"> </w:t>
            </w:r>
            <w:r w:rsidR="00B56E07" w:rsidRPr="00B56E07">
              <w:rPr>
                <w:rFonts w:ascii="Times New Roman" w:hAnsi="Times New Roman" w:cs="Times New Roman"/>
                <w:color w:val="000000" w:themeColor="text1"/>
                <w:lang w:val="ro-MD"/>
              </w:rPr>
              <w:t>conține un set de scenarii.</w:t>
            </w:r>
            <w:bookmarkEnd w:id="31"/>
          </w:p>
        </w:tc>
        <w:tc>
          <w:tcPr>
            <w:tcW w:w="450" w:type="pct"/>
          </w:tcPr>
          <w:p w14:paraId="6C0E3BA6"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2E096A75" w14:textId="77777777" w:rsidR="00B56E07" w:rsidRPr="00C25E6D" w:rsidRDefault="00B56E07" w:rsidP="00B56E07">
            <w:pPr>
              <w:spacing w:line="276" w:lineRule="auto"/>
              <w:rPr>
                <w:rFonts w:ascii="Times New Roman" w:hAnsi="Times New Roman" w:cs="Times New Roman"/>
                <w:color w:val="000000" w:themeColor="text1"/>
                <w:lang w:val="ro-MD"/>
              </w:rPr>
            </w:pPr>
          </w:p>
        </w:tc>
        <w:tc>
          <w:tcPr>
            <w:tcW w:w="1261" w:type="pct"/>
          </w:tcPr>
          <w:p w14:paraId="3A45DF2C" w14:textId="77777777" w:rsidR="00B56E07" w:rsidRPr="00C25E6D" w:rsidRDefault="00B56E07" w:rsidP="00B56E07">
            <w:pPr>
              <w:spacing w:line="276" w:lineRule="auto"/>
              <w:rPr>
                <w:rFonts w:ascii="Times New Roman" w:hAnsi="Times New Roman" w:cs="Times New Roman"/>
                <w:color w:val="000000" w:themeColor="text1"/>
                <w:lang w:val="ro-MD"/>
              </w:rPr>
            </w:pPr>
          </w:p>
        </w:tc>
      </w:tr>
      <w:tr w:rsidR="002710A2" w:rsidRPr="002710A2" w14:paraId="4DCF43A3" w14:textId="77777777" w:rsidTr="00571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4"/>
        </w:trPr>
        <w:tc>
          <w:tcPr>
            <w:tcW w:w="1597" w:type="pct"/>
          </w:tcPr>
          <w:p w14:paraId="4DDB92C0" w14:textId="77777777" w:rsidR="002710A2" w:rsidRPr="006315B0"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lastRenderedPageBreak/>
              <w:t>(2) Prima dimensiune a matricei de scenarii o reprezintă variațiile de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preț al suportului peste și sub valoarea sa curentă. Banda de variație în</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cauză constă în următoarele:</w:t>
            </w:r>
          </w:p>
          <w:p w14:paraId="7B999D4C" w14:textId="77777777" w:rsidR="002710A2" w:rsidRPr="006315B0"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 xml:space="preserve">(a)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rata dobânzii, plus/minus</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variația presupusă a ratei dobânzii prevăzută în tabelul 2 coloana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5 de la articolul 339 din Regulamentul (UE) nr. 575/2013;</w:t>
            </w:r>
          </w:p>
          <w:p w14:paraId="4F346CBC" w14:textId="77777777" w:rsidR="002710A2" w:rsidRPr="006315B0"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 xml:space="preserve">(b)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titluri de capital sau indici</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bursieri, plus/minus ponderarea prevăzută la articolul 343 din Regulamentul</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(UE) nr. 575/2013;</w:t>
            </w:r>
          </w:p>
          <w:p w14:paraId="293C5984" w14:textId="77777777" w:rsidR="002710A2" w:rsidRPr="006315B0"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 xml:space="preserve">(c)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schimburi valutare și pe aur,</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plus/minus ponderarea prevăzută la articolul 351 din Regulamentul</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(UE) nr. 575/2013 sau, dacă este cazul, plus/minus ponderarea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prevăzută la articolul 354 din Regulamentul (UE) nr. 575/2013;</w:t>
            </w:r>
          </w:p>
          <w:p w14:paraId="7090C1A8" w14:textId="0B42E20A" w:rsidR="002710A2" w:rsidRPr="006315B0" w:rsidRDefault="002710A2" w:rsidP="00B56E07">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(d) pentru opțiunile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pe mărfuri, plus/minus ponderarea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prevăzută la articolul 360 alineatul (1) litera (a) din Regulamentul</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(UE) nr. 575/2013.</w:t>
            </w:r>
          </w:p>
        </w:tc>
        <w:tc>
          <w:tcPr>
            <w:tcW w:w="1692" w:type="pct"/>
          </w:tcPr>
          <w:p w14:paraId="175EB7AC" w14:textId="3BA8A9C7" w:rsidR="002710A2" w:rsidRPr="006315B0" w:rsidRDefault="002710A2" w:rsidP="00B56E07">
            <w:pPr>
              <w:spacing w:line="240" w:lineRule="auto"/>
              <w:jc w:val="both"/>
              <w:rPr>
                <w:rFonts w:ascii="Times New Roman" w:hAnsi="Times New Roman" w:cs="Times New Roman"/>
                <w:color w:val="000000" w:themeColor="text1"/>
                <w:lang w:val="ro-MD"/>
              </w:rPr>
            </w:pPr>
            <w:bookmarkStart w:id="32" w:name="_Hlk224713205"/>
            <w:r>
              <w:rPr>
                <w:rFonts w:ascii="Times New Roman" w:hAnsi="Times New Roman" w:cs="Times New Roman"/>
                <w:color w:val="000000" w:themeColor="text1"/>
                <w:lang w:val="ro-MD"/>
              </w:rPr>
              <w:t>21.</w:t>
            </w:r>
            <w:r w:rsidRPr="00B56E07">
              <w:rPr>
                <w:rFonts w:ascii="Times New Roman" w:hAnsi="Times New Roman" w:cs="Times New Roman"/>
                <w:color w:val="000000" w:themeColor="text1"/>
                <w:lang w:val="ro-MD"/>
              </w:rPr>
              <w:t xml:space="preserve"> Prima dimensiune a matricei de scenarii o reprezintă variațiile de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preț al suportului peste și sub valoarea sa curentă. Banda de variație în</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cauză constă în următoarele:</w:t>
            </w:r>
          </w:p>
          <w:p w14:paraId="27B8FEB4" w14:textId="3F5DD8C7"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21.1.</w:t>
            </w:r>
            <w:r w:rsidRPr="00B56E07">
              <w:rPr>
                <w:rFonts w:ascii="Times New Roman" w:hAnsi="Times New Roman" w:cs="Times New Roman"/>
                <w:color w:val="000000" w:themeColor="text1"/>
                <w:lang w:val="ro-MD"/>
              </w:rPr>
              <w:t xml:space="preserve">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rata dobânzii, plus/minus</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variația presupusă a ratei dobânzii prevăzută în tabelul 2 coloana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5 de la </w:t>
            </w:r>
            <w:r>
              <w:rPr>
                <w:rFonts w:ascii="Times New Roman" w:hAnsi="Times New Roman" w:cs="Times New Roman"/>
                <w:color w:val="000000" w:themeColor="text1"/>
                <w:lang w:val="ro-MD"/>
              </w:rPr>
              <w:t xml:space="preserve">titlul II, capitolul IV, secțiunea 2, subsecțiunea 2, paragraful 1 din Regulamentul </w:t>
            </w:r>
            <w:proofErr w:type="spellStart"/>
            <w:r>
              <w:rPr>
                <w:rFonts w:ascii="Times New Roman" w:hAnsi="Times New Roman" w:cs="Times New Roman"/>
                <w:color w:val="000000" w:themeColor="text1"/>
                <w:lang w:val="ro-MD"/>
              </w:rPr>
              <w:t>nr.XX</w:t>
            </w:r>
            <w:proofErr w:type="spellEnd"/>
            <w:r>
              <w:rPr>
                <w:rFonts w:ascii="Times New Roman" w:hAnsi="Times New Roman" w:cs="Times New Roman"/>
                <w:color w:val="000000" w:themeColor="text1"/>
                <w:lang w:val="ro-MD"/>
              </w:rPr>
              <w:t>/2026</w:t>
            </w:r>
            <w:r w:rsidRPr="00B56E07">
              <w:rPr>
                <w:rFonts w:ascii="Times New Roman" w:hAnsi="Times New Roman" w:cs="Times New Roman"/>
                <w:color w:val="000000" w:themeColor="text1"/>
                <w:lang w:val="ro-MD"/>
              </w:rPr>
              <w:t>;</w:t>
            </w:r>
          </w:p>
          <w:p w14:paraId="7F100239" w14:textId="54E892E7"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21.2.</w:t>
            </w:r>
            <w:r w:rsidRPr="00B56E07">
              <w:rPr>
                <w:rFonts w:ascii="Times New Roman" w:hAnsi="Times New Roman" w:cs="Times New Roman"/>
                <w:color w:val="000000" w:themeColor="text1"/>
                <w:lang w:val="ro-MD"/>
              </w:rPr>
              <w:t xml:space="preserve">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titluri de capital sau indici</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bursieri, plus/minus ponderarea prevăzută la </w:t>
            </w:r>
            <w:r w:rsidRPr="00A17762">
              <w:rPr>
                <w:rFonts w:ascii="Times New Roman" w:hAnsi="Times New Roman" w:cs="Times New Roman"/>
                <w:color w:val="000000" w:themeColor="text1"/>
                <w:lang w:val="ro-MD"/>
              </w:rPr>
              <w:t xml:space="preserve">titlul II, capitolul IV, secțiunea </w:t>
            </w:r>
            <w:r>
              <w:rPr>
                <w:rFonts w:ascii="Times New Roman" w:hAnsi="Times New Roman" w:cs="Times New Roman"/>
                <w:color w:val="000000" w:themeColor="text1"/>
                <w:lang w:val="ro-MD"/>
              </w:rPr>
              <w:t>3</w:t>
            </w:r>
            <w:r w:rsidRPr="00A17762">
              <w:rPr>
                <w:rFonts w:ascii="Times New Roman" w:hAnsi="Times New Roman" w:cs="Times New Roman"/>
                <w:color w:val="000000" w:themeColor="text1"/>
                <w:lang w:val="ro-MD"/>
              </w:rPr>
              <w:t xml:space="preserve">, subsecțiunea </w:t>
            </w:r>
            <w:r>
              <w:rPr>
                <w:rFonts w:ascii="Times New Roman" w:hAnsi="Times New Roman" w:cs="Times New Roman"/>
                <w:color w:val="000000" w:themeColor="text1"/>
                <w:lang w:val="ro-MD"/>
              </w:rPr>
              <w:t>3</w:t>
            </w:r>
            <w:r w:rsidRPr="00D14BD5">
              <w:rPr>
                <w:lang w:val="ro-MD"/>
              </w:rPr>
              <w:t xml:space="preserve"> </w:t>
            </w:r>
            <w:r w:rsidRPr="00A17762">
              <w:rPr>
                <w:rFonts w:ascii="Times New Roman" w:hAnsi="Times New Roman" w:cs="Times New Roman"/>
                <w:color w:val="000000" w:themeColor="text1"/>
                <w:lang w:val="ro-MD"/>
              </w:rPr>
              <w:t xml:space="preserve">din Regulamentul </w:t>
            </w:r>
            <w:proofErr w:type="spellStart"/>
            <w:r w:rsidRPr="00A17762">
              <w:rPr>
                <w:rFonts w:ascii="Times New Roman" w:hAnsi="Times New Roman" w:cs="Times New Roman"/>
                <w:color w:val="000000" w:themeColor="text1"/>
                <w:lang w:val="ro-MD"/>
              </w:rPr>
              <w:t>nr.XX</w:t>
            </w:r>
            <w:proofErr w:type="spellEnd"/>
            <w:r w:rsidRPr="00A17762">
              <w:rPr>
                <w:rFonts w:ascii="Times New Roman" w:hAnsi="Times New Roman" w:cs="Times New Roman"/>
                <w:color w:val="000000" w:themeColor="text1"/>
                <w:lang w:val="ro-MD"/>
              </w:rPr>
              <w:t>/2026</w:t>
            </w:r>
            <w:r w:rsidRPr="00B56E07">
              <w:rPr>
                <w:rFonts w:ascii="Times New Roman" w:hAnsi="Times New Roman" w:cs="Times New Roman"/>
                <w:color w:val="000000" w:themeColor="text1"/>
                <w:lang w:val="ro-MD"/>
              </w:rPr>
              <w:t>;</w:t>
            </w:r>
          </w:p>
          <w:p w14:paraId="243245CF" w14:textId="27FC3766"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21.3.</w:t>
            </w:r>
            <w:r w:rsidRPr="00B56E07">
              <w:rPr>
                <w:rFonts w:ascii="Times New Roman" w:hAnsi="Times New Roman" w:cs="Times New Roman"/>
                <w:color w:val="000000" w:themeColor="text1"/>
                <w:lang w:val="ro-MD"/>
              </w:rPr>
              <w:t xml:space="preserve"> pentru opțiunile sau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xml:space="preserve"> pe schimburi valutare și pe aur,</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plus/minus ponderarea prevăzută la </w:t>
            </w:r>
            <w:r w:rsidRPr="00A17762">
              <w:rPr>
                <w:rFonts w:ascii="Times New Roman" w:hAnsi="Times New Roman" w:cs="Times New Roman"/>
                <w:color w:val="000000" w:themeColor="text1"/>
                <w:lang w:val="ro-MD"/>
              </w:rPr>
              <w:t xml:space="preserve">titlul II, capitolul V, secțiunea </w:t>
            </w:r>
            <w:r>
              <w:rPr>
                <w:rFonts w:ascii="Times New Roman" w:hAnsi="Times New Roman" w:cs="Times New Roman"/>
                <w:color w:val="000000" w:themeColor="text1"/>
                <w:lang w:val="ro-MD"/>
              </w:rPr>
              <w:t>1</w:t>
            </w:r>
            <w:r w:rsidRPr="00A17762">
              <w:rPr>
                <w:rFonts w:ascii="Times New Roman" w:hAnsi="Times New Roman" w:cs="Times New Roman"/>
                <w:color w:val="000000" w:themeColor="text1"/>
                <w:lang w:val="ro-MD"/>
              </w:rPr>
              <w:t xml:space="preserve"> din Regulamentul </w:t>
            </w:r>
            <w:proofErr w:type="spellStart"/>
            <w:r w:rsidRPr="00A17762">
              <w:rPr>
                <w:rFonts w:ascii="Times New Roman" w:hAnsi="Times New Roman" w:cs="Times New Roman"/>
                <w:color w:val="000000" w:themeColor="text1"/>
                <w:lang w:val="ro-MD"/>
              </w:rPr>
              <w:t>nr.XX</w:t>
            </w:r>
            <w:proofErr w:type="spellEnd"/>
            <w:r w:rsidRPr="00A17762">
              <w:rPr>
                <w:rFonts w:ascii="Times New Roman" w:hAnsi="Times New Roman" w:cs="Times New Roman"/>
                <w:color w:val="000000" w:themeColor="text1"/>
                <w:lang w:val="ro-MD"/>
              </w:rPr>
              <w:t>/2026</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sau, dacă este cazul, plus/minus ponderarea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prevăzută la </w:t>
            </w:r>
            <w:r w:rsidRPr="00A17762">
              <w:rPr>
                <w:rFonts w:ascii="Times New Roman" w:hAnsi="Times New Roman" w:cs="Times New Roman"/>
                <w:color w:val="000000" w:themeColor="text1"/>
                <w:lang w:val="ro-MD"/>
              </w:rPr>
              <w:t xml:space="preserve">titlul II, capitolul V, secțiunea </w:t>
            </w:r>
            <w:r>
              <w:rPr>
                <w:rFonts w:ascii="Times New Roman" w:hAnsi="Times New Roman" w:cs="Times New Roman"/>
                <w:color w:val="000000" w:themeColor="text1"/>
                <w:lang w:val="ro-MD"/>
              </w:rPr>
              <w:t>4</w:t>
            </w:r>
            <w:r w:rsidRPr="00A17762">
              <w:rPr>
                <w:rFonts w:ascii="Times New Roman" w:hAnsi="Times New Roman" w:cs="Times New Roman"/>
                <w:color w:val="000000" w:themeColor="text1"/>
                <w:lang w:val="ro-MD"/>
              </w:rPr>
              <w:t xml:space="preserve"> din Regulamentul </w:t>
            </w:r>
            <w:proofErr w:type="spellStart"/>
            <w:r w:rsidRPr="00A17762">
              <w:rPr>
                <w:rFonts w:ascii="Times New Roman" w:hAnsi="Times New Roman" w:cs="Times New Roman"/>
                <w:color w:val="000000" w:themeColor="text1"/>
                <w:lang w:val="ro-MD"/>
              </w:rPr>
              <w:t>nr.XX</w:t>
            </w:r>
            <w:proofErr w:type="spellEnd"/>
            <w:r w:rsidRPr="00A17762">
              <w:rPr>
                <w:rFonts w:ascii="Times New Roman" w:hAnsi="Times New Roman" w:cs="Times New Roman"/>
                <w:color w:val="000000" w:themeColor="text1"/>
                <w:lang w:val="ro-MD"/>
              </w:rPr>
              <w:t>/2026</w:t>
            </w:r>
            <w:r w:rsidRPr="00B56E07">
              <w:rPr>
                <w:rFonts w:ascii="Times New Roman" w:hAnsi="Times New Roman" w:cs="Times New Roman"/>
                <w:color w:val="000000" w:themeColor="text1"/>
                <w:lang w:val="ro-MD"/>
              </w:rPr>
              <w:t>;</w:t>
            </w:r>
          </w:p>
          <w:p w14:paraId="7C62346D" w14:textId="3F10C5AC" w:rsidR="002710A2" w:rsidRPr="006315B0" w:rsidRDefault="002710A2" w:rsidP="00B56E07">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21.4.</w:t>
            </w:r>
            <w:r w:rsidRPr="00B56E07">
              <w:rPr>
                <w:rFonts w:ascii="Times New Roman" w:hAnsi="Times New Roman" w:cs="Times New Roman"/>
                <w:color w:val="000000" w:themeColor="text1"/>
                <w:lang w:val="ro-MD"/>
              </w:rPr>
              <w:t xml:space="preserve"> pentru opțiunile (</w:t>
            </w:r>
            <w:proofErr w:type="spellStart"/>
            <w:r w:rsidRPr="00B56E07">
              <w:rPr>
                <w:rFonts w:ascii="Times New Roman" w:hAnsi="Times New Roman" w:cs="Times New Roman"/>
                <w:color w:val="000000" w:themeColor="text1"/>
                <w:lang w:val="ro-MD"/>
              </w:rPr>
              <w:t>warranturile</w:t>
            </w:r>
            <w:proofErr w:type="spellEnd"/>
            <w:r w:rsidRPr="00B56E07">
              <w:rPr>
                <w:rFonts w:ascii="Times New Roman" w:hAnsi="Times New Roman" w:cs="Times New Roman"/>
                <w:color w:val="000000" w:themeColor="text1"/>
                <w:lang w:val="ro-MD"/>
              </w:rPr>
              <w:t>) pe mărfuri, plus/minus ponderarea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prevăzută la </w:t>
            </w:r>
            <w:r w:rsidR="00D17D4A">
              <w:rPr>
                <w:rFonts w:ascii="Times New Roman" w:hAnsi="Times New Roman" w:cs="Times New Roman"/>
                <w:color w:val="000000" w:themeColor="text1"/>
                <w:lang w:val="ro-MD"/>
              </w:rPr>
              <w:t>sub</w:t>
            </w:r>
            <w:r w:rsidR="00D17D4A" w:rsidRPr="00D14BD5">
              <w:rPr>
                <w:rFonts w:ascii="Times New Roman" w:hAnsi="Times New Roman" w:cs="Times New Roman"/>
                <w:color w:val="000000" w:themeColor="text1"/>
                <w:lang w:val="ro-MD"/>
              </w:rPr>
              <w:t>pct.530</w:t>
            </w:r>
            <w:r w:rsidR="00D17D4A">
              <w:rPr>
                <w:rFonts w:ascii="Times New Roman" w:hAnsi="Times New Roman" w:cs="Times New Roman"/>
                <w:color w:val="000000" w:themeColor="text1"/>
                <w:lang w:val="ro-MD"/>
              </w:rPr>
              <w:t>.1</w:t>
            </w:r>
            <w:r w:rsidR="00D17D4A" w:rsidRPr="00D14BD5">
              <w:rPr>
                <w:rFonts w:ascii="Times New Roman" w:hAnsi="Times New Roman" w:cs="Times New Roman"/>
                <w:color w:val="000000" w:themeColor="text1"/>
                <w:lang w:val="ro-MD"/>
              </w:rPr>
              <w:t xml:space="preserve"> din Regulamentul </w:t>
            </w:r>
            <w:proofErr w:type="spellStart"/>
            <w:r w:rsidR="00D17D4A" w:rsidRPr="00D14BD5">
              <w:rPr>
                <w:rFonts w:ascii="Times New Roman" w:hAnsi="Times New Roman" w:cs="Times New Roman"/>
                <w:color w:val="000000" w:themeColor="text1"/>
                <w:lang w:val="ro-MD"/>
              </w:rPr>
              <w:t>nr.XX</w:t>
            </w:r>
            <w:proofErr w:type="spellEnd"/>
            <w:r w:rsidR="00D17D4A" w:rsidRPr="00D14BD5">
              <w:rPr>
                <w:rFonts w:ascii="Times New Roman" w:hAnsi="Times New Roman" w:cs="Times New Roman"/>
                <w:color w:val="000000" w:themeColor="text1"/>
                <w:lang w:val="ro-MD"/>
              </w:rPr>
              <w:t>/2026</w:t>
            </w:r>
            <w:r w:rsidRPr="00D17D4A">
              <w:rPr>
                <w:rFonts w:ascii="Times New Roman" w:hAnsi="Times New Roman" w:cs="Times New Roman"/>
                <w:color w:val="000000" w:themeColor="text1"/>
                <w:lang w:val="ro-MD"/>
              </w:rPr>
              <w:t>.</w:t>
            </w:r>
            <w:bookmarkEnd w:id="32"/>
          </w:p>
        </w:tc>
        <w:tc>
          <w:tcPr>
            <w:tcW w:w="450" w:type="pct"/>
          </w:tcPr>
          <w:p w14:paraId="3EB8419E"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5E82371A" w14:textId="77777777" w:rsidR="002710A2" w:rsidRPr="00C25E6D" w:rsidRDefault="002710A2" w:rsidP="00B56E07">
            <w:pPr>
              <w:spacing w:line="276" w:lineRule="auto"/>
              <w:rPr>
                <w:rFonts w:ascii="Times New Roman" w:hAnsi="Times New Roman" w:cs="Times New Roman"/>
                <w:color w:val="000000" w:themeColor="text1"/>
                <w:lang w:val="ro-MD"/>
              </w:rPr>
            </w:pPr>
          </w:p>
        </w:tc>
        <w:tc>
          <w:tcPr>
            <w:tcW w:w="1261" w:type="pct"/>
          </w:tcPr>
          <w:p w14:paraId="4488C3E0" w14:textId="77777777" w:rsidR="002710A2" w:rsidRPr="00C25E6D" w:rsidRDefault="002710A2" w:rsidP="00B56E07">
            <w:pPr>
              <w:spacing w:line="276" w:lineRule="auto"/>
              <w:rPr>
                <w:rFonts w:ascii="Times New Roman" w:hAnsi="Times New Roman" w:cs="Times New Roman"/>
                <w:color w:val="000000" w:themeColor="text1"/>
                <w:lang w:val="ro-MD"/>
              </w:rPr>
            </w:pPr>
          </w:p>
        </w:tc>
      </w:tr>
      <w:tr w:rsidR="00AF6A54" w:rsidRPr="008D74CE" w14:paraId="380B79A5"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422CA08" w14:textId="595A5E25" w:rsidR="00AF6A54" w:rsidRPr="006315B0" w:rsidRDefault="00AF6A54" w:rsidP="00AF6A54">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lastRenderedPageBreak/>
              <w:t>(3) Scenariile privind variația prețului suportului se definesc printr-o</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grilă cu cel puțin șapte puncte care include observarea curentă și împarte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banda menționată la alineatul (2) în intervale egale.</w:t>
            </w:r>
          </w:p>
        </w:tc>
        <w:tc>
          <w:tcPr>
            <w:tcW w:w="1692" w:type="pct"/>
          </w:tcPr>
          <w:p w14:paraId="15AD6190" w14:textId="79710654" w:rsidR="00AF6A54" w:rsidRPr="006315B0" w:rsidRDefault="000217C9" w:rsidP="00AF6A54">
            <w:pPr>
              <w:spacing w:line="240" w:lineRule="auto"/>
              <w:jc w:val="both"/>
              <w:rPr>
                <w:rFonts w:ascii="Times New Roman" w:hAnsi="Times New Roman" w:cs="Times New Roman"/>
                <w:color w:val="000000" w:themeColor="text1"/>
                <w:lang w:val="ro-MD"/>
              </w:rPr>
            </w:pPr>
            <w:bookmarkStart w:id="33" w:name="_Hlk224713241"/>
            <w:r>
              <w:rPr>
                <w:rFonts w:ascii="Times New Roman" w:hAnsi="Times New Roman" w:cs="Times New Roman"/>
                <w:color w:val="000000" w:themeColor="text1"/>
                <w:lang w:val="ro-MD"/>
              </w:rPr>
              <w:t>22.</w:t>
            </w:r>
            <w:r w:rsidR="00AF6A54" w:rsidRPr="00B56E07">
              <w:rPr>
                <w:rFonts w:ascii="Times New Roman" w:hAnsi="Times New Roman" w:cs="Times New Roman"/>
                <w:color w:val="000000" w:themeColor="text1"/>
                <w:lang w:val="ro-MD"/>
              </w:rPr>
              <w:t xml:space="preserve"> Scenariile privind variația prețului suportului se definesc printr-o</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grilă cu cel puțin șapte puncte care include observarea curentă și împarte</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 xml:space="preserve">banda menționată la </w:t>
            </w:r>
            <w:r>
              <w:rPr>
                <w:rFonts w:ascii="Times New Roman" w:hAnsi="Times New Roman" w:cs="Times New Roman"/>
                <w:color w:val="000000" w:themeColor="text1"/>
                <w:lang w:val="ro-MD"/>
              </w:rPr>
              <w:t>pct.21</w:t>
            </w:r>
            <w:r w:rsidR="00AF6A54" w:rsidRPr="00B56E07">
              <w:rPr>
                <w:rFonts w:ascii="Times New Roman" w:hAnsi="Times New Roman" w:cs="Times New Roman"/>
                <w:color w:val="000000" w:themeColor="text1"/>
                <w:lang w:val="ro-MD"/>
              </w:rPr>
              <w:t xml:space="preserve"> în intervale egale.</w:t>
            </w:r>
            <w:bookmarkEnd w:id="33"/>
          </w:p>
        </w:tc>
        <w:tc>
          <w:tcPr>
            <w:tcW w:w="450" w:type="pct"/>
          </w:tcPr>
          <w:p w14:paraId="0676D8F2"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37847DD2" w14:textId="77777777" w:rsidR="00AF6A54" w:rsidRPr="00C25E6D" w:rsidRDefault="00AF6A54" w:rsidP="00AF6A54">
            <w:pPr>
              <w:spacing w:line="276" w:lineRule="auto"/>
              <w:rPr>
                <w:rFonts w:ascii="Times New Roman" w:hAnsi="Times New Roman" w:cs="Times New Roman"/>
                <w:color w:val="000000" w:themeColor="text1"/>
                <w:lang w:val="ro-MD"/>
              </w:rPr>
            </w:pPr>
          </w:p>
        </w:tc>
        <w:tc>
          <w:tcPr>
            <w:tcW w:w="1261" w:type="pct"/>
          </w:tcPr>
          <w:p w14:paraId="70DBB714" w14:textId="77777777" w:rsidR="00AF6A54" w:rsidRPr="00C25E6D" w:rsidRDefault="00AF6A54" w:rsidP="00AF6A54">
            <w:pPr>
              <w:spacing w:line="276" w:lineRule="auto"/>
              <w:rPr>
                <w:rFonts w:ascii="Times New Roman" w:hAnsi="Times New Roman" w:cs="Times New Roman"/>
                <w:color w:val="000000" w:themeColor="text1"/>
                <w:lang w:val="ro-MD"/>
              </w:rPr>
            </w:pPr>
          </w:p>
        </w:tc>
      </w:tr>
      <w:tr w:rsidR="00AF6A54" w:rsidRPr="008D74CE" w14:paraId="11B1AEF6"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6BA7B61A" w14:textId="2C9700E8" w:rsidR="00AF6A54" w:rsidRPr="006315B0" w:rsidRDefault="00AF6A54" w:rsidP="00AF6A54">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(4) A doua dimensiune a matricei de scenarii este definită de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 xml:space="preserve">variațiile volatilității. Banda de variație a </w:t>
            </w:r>
            <w:proofErr w:type="spellStart"/>
            <w:r w:rsidRPr="00B56E07">
              <w:rPr>
                <w:rFonts w:ascii="Times New Roman" w:hAnsi="Times New Roman" w:cs="Times New Roman"/>
                <w:color w:val="000000" w:themeColor="text1"/>
                <w:lang w:val="ro-MD"/>
              </w:rPr>
              <w:t>volatilităților</w:t>
            </w:r>
            <w:proofErr w:type="spellEnd"/>
            <w:r w:rsidRPr="00B56E07">
              <w:rPr>
                <w:rFonts w:ascii="Times New Roman" w:hAnsi="Times New Roman" w:cs="Times New Roman"/>
                <w:color w:val="000000" w:themeColor="text1"/>
                <w:lang w:val="ro-MD"/>
              </w:rPr>
              <w:t xml:space="preserve"> este cuprinsă</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între plus/minus 25 % din volatilitatea implicită, care este înțeleasă în</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modul descris la articolul 4 alineatul (2). Banda respectivă se împarte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într-o grilă cu cel puțin trei puncte care include o variație de 0 %, grila</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fiind împărțită în intervale egale.</w:t>
            </w:r>
          </w:p>
        </w:tc>
        <w:tc>
          <w:tcPr>
            <w:tcW w:w="1692" w:type="pct"/>
          </w:tcPr>
          <w:p w14:paraId="1C01EEAC" w14:textId="39AC09AA" w:rsidR="00AF6A54" w:rsidRPr="006315B0" w:rsidRDefault="000217C9" w:rsidP="00AF6A54">
            <w:pPr>
              <w:spacing w:line="240" w:lineRule="auto"/>
              <w:jc w:val="both"/>
              <w:rPr>
                <w:rFonts w:ascii="Times New Roman" w:hAnsi="Times New Roman" w:cs="Times New Roman"/>
                <w:color w:val="000000" w:themeColor="text1"/>
                <w:lang w:val="ro-MD"/>
              </w:rPr>
            </w:pPr>
            <w:bookmarkStart w:id="34" w:name="_Hlk224713273"/>
            <w:r>
              <w:rPr>
                <w:rFonts w:ascii="Times New Roman" w:hAnsi="Times New Roman" w:cs="Times New Roman"/>
                <w:color w:val="000000" w:themeColor="text1"/>
                <w:lang w:val="ro-MD"/>
              </w:rPr>
              <w:t>23.</w:t>
            </w:r>
            <w:r w:rsidR="00AF6A54" w:rsidRPr="00B56E07">
              <w:rPr>
                <w:rFonts w:ascii="Times New Roman" w:hAnsi="Times New Roman" w:cs="Times New Roman"/>
                <w:color w:val="000000" w:themeColor="text1"/>
                <w:lang w:val="ro-MD"/>
              </w:rPr>
              <w:t xml:space="preserve"> A doua dimensiune a matricei de scenarii este definită de</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 xml:space="preserve">variațiile volatilității. Banda de variație a </w:t>
            </w:r>
            <w:proofErr w:type="spellStart"/>
            <w:r w:rsidR="00AF6A54" w:rsidRPr="00B56E07">
              <w:rPr>
                <w:rFonts w:ascii="Times New Roman" w:hAnsi="Times New Roman" w:cs="Times New Roman"/>
                <w:color w:val="000000" w:themeColor="text1"/>
                <w:lang w:val="ro-MD"/>
              </w:rPr>
              <w:t>volatilităților</w:t>
            </w:r>
            <w:proofErr w:type="spellEnd"/>
            <w:r w:rsidR="00AF6A54" w:rsidRPr="00B56E07">
              <w:rPr>
                <w:rFonts w:ascii="Times New Roman" w:hAnsi="Times New Roman" w:cs="Times New Roman"/>
                <w:color w:val="000000" w:themeColor="text1"/>
                <w:lang w:val="ro-MD"/>
              </w:rPr>
              <w:t xml:space="preserve"> este cuprinsă</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între plus/minus 25 % din volatilitatea implicită, care este înțeleasă în</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 xml:space="preserve">modul descris la </w:t>
            </w:r>
            <w:r>
              <w:rPr>
                <w:rFonts w:ascii="Times New Roman" w:hAnsi="Times New Roman" w:cs="Times New Roman"/>
                <w:color w:val="000000" w:themeColor="text1"/>
                <w:lang w:val="ro-MD"/>
              </w:rPr>
              <w:t>pct.11</w:t>
            </w:r>
            <w:r w:rsidR="00AF6A54" w:rsidRPr="00B56E07">
              <w:rPr>
                <w:rFonts w:ascii="Times New Roman" w:hAnsi="Times New Roman" w:cs="Times New Roman"/>
                <w:color w:val="000000" w:themeColor="text1"/>
                <w:lang w:val="ro-MD"/>
              </w:rPr>
              <w:t>. Banda respectivă se împarte</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într-o grilă cu cel puțin trei puncte care include o variație de 0 %, grila</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fiind împărțită în intervale egale.</w:t>
            </w:r>
            <w:bookmarkEnd w:id="34"/>
          </w:p>
        </w:tc>
        <w:tc>
          <w:tcPr>
            <w:tcW w:w="450" w:type="pct"/>
          </w:tcPr>
          <w:p w14:paraId="51A02D2C"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112DED44" w14:textId="77777777" w:rsidR="00AF6A54" w:rsidRPr="00C25E6D" w:rsidRDefault="00AF6A54" w:rsidP="00AF6A54">
            <w:pPr>
              <w:spacing w:line="276" w:lineRule="auto"/>
              <w:rPr>
                <w:rFonts w:ascii="Times New Roman" w:hAnsi="Times New Roman" w:cs="Times New Roman"/>
                <w:color w:val="000000" w:themeColor="text1"/>
                <w:lang w:val="ro-MD"/>
              </w:rPr>
            </w:pPr>
          </w:p>
        </w:tc>
        <w:tc>
          <w:tcPr>
            <w:tcW w:w="1261" w:type="pct"/>
          </w:tcPr>
          <w:p w14:paraId="29F406B2" w14:textId="77777777" w:rsidR="00AF6A54" w:rsidRPr="00C25E6D" w:rsidRDefault="00AF6A54" w:rsidP="00AF6A54">
            <w:pPr>
              <w:spacing w:line="276" w:lineRule="auto"/>
              <w:rPr>
                <w:rFonts w:ascii="Times New Roman" w:hAnsi="Times New Roman" w:cs="Times New Roman"/>
                <w:color w:val="000000" w:themeColor="text1"/>
                <w:lang w:val="ro-MD"/>
              </w:rPr>
            </w:pPr>
          </w:p>
        </w:tc>
      </w:tr>
      <w:tr w:rsidR="00AF6A54" w:rsidRPr="008D74CE" w14:paraId="08C7425A"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D92E897" w14:textId="0A9A5A5A" w:rsidR="00AF6A54" w:rsidRPr="006315B0" w:rsidRDefault="00AF6A54" w:rsidP="00AF6A54">
            <w:pPr>
              <w:spacing w:line="240" w:lineRule="auto"/>
              <w:jc w:val="both"/>
              <w:rPr>
                <w:rFonts w:ascii="Times New Roman" w:hAnsi="Times New Roman" w:cs="Times New Roman"/>
                <w:color w:val="000000" w:themeColor="text1"/>
                <w:lang w:val="ro-MD"/>
              </w:rPr>
            </w:pPr>
            <w:r w:rsidRPr="00B56E07">
              <w:rPr>
                <w:rFonts w:ascii="Times New Roman" w:hAnsi="Times New Roman" w:cs="Times New Roman"/>
                <w:color w:val="000000" w:themeColor="text1"/>
                <w:lang w:val="ro-MD"/>
              </w:rPr>
              <w:t>(5) Matricea de scenarii este determinată de toate combinațiile</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posibile de puncte, astfel cum sunt menționate la alineatele (3) și (4).</w:t>
            </w:r>
            <w:r>
              <w:rPr>
                <w:rFonts w:ascii="Times New Roman" w:hAnsi="Times New Roman" w:cs="Times New Roman"/>
                <w:color w:val="000000" w:themeColor="text1"/>
                <w:lang w:val="ro-MD"/>
              </w:rPr>
              <w:t xml:space="preserve"> </w:t>
            </w:r>
            <w:r w:rsidRPr="00B56E07">
              <w:rPr>
                <w:rFonts w:ascii="Times New Roman" w:hAnsi="Times New Roman" w:cs="Times New Roman"/>
                <w:color w:val="000000" w:themeColor="text1"/>
                <w:lang w:val="ro-MD"/>
              </w:rPr>
              <w:t>Fiecare combinație constituie un singur scenariu.</w:t>
            </w:r>
          </w:p>
        </w:tc>
        <w:tc>
          <w:tcPr>
            <w:tcW w:w="1692" w:type="pct"/>
          </w:tcPr>
          <w:p w14:paraId="17F1B463" w14:textId="5F069EBC" w:rsidR="00AF6A54" w:rsidRPr="006315B0" w:rsidRDefault="000217C9" w:rsidP="00AF6A54">
            <w:pPr>
              <w:spacing w:line="240" w:lineRule="auto"/>
              <w:jc w:val="both"/>
              <w:rPr>
                <w:rFonts w:ascii="Times New Roman" w:hAnsi="Times New Roman" w:cs="Times New Roman"/>
                <w:color w:val="000000" w:themeColor="text1"/>
                <w:lang w:val="ro-MD"/>
              </w:rPr>
            </w:pPr>
            <w:bookmarkStart w:id="35" w:name="_Hlk224713303"/>
            <w:r>
              <w:rPr>
                <w:rFonts w:ascii="Times New Roman" w:hAnsi="Times New Roman" w:cs="Times New Roman"/>
                <w:color w:val="000000" w:themeColor="text1"/>
                <w:lang w:val="ro-MD"/>
              </w:rPr>
              <w:t>24.</w:t>
            </w:r>
            <w:r w:rsidR="00AF6A54" w:rsidRPr="00B56E07">
              <w:rPr>
                <w:rFonts w:ascii="Times New Roman" w:hAnsi="Times New Roman" w:cs="Times New Roman"/>
                <w:color w:val="000000" w:themeColor="text1"/>
                <w:lang w:val="ro-MD"/>
              </w:rPr>
              <w:t xml:space="preserve"> Matricea de scenarii este determinată de toate combinațiile</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 xml:space="preserve">posibile de puncte, astfel cum sunt menționate la </w:t>
            </w:r>
            <w:r>
              <w:rPr>
                <w:rFonts w:ascii="Times New Roman" w:hAnsi="Times New Roman" w:cs="Times New Roman"/>
                <w:color w:val="000000" w:themeColor="text1"/>
                <w:lang w:val="ro-MD"/>
              </w:rPr>
              <w:t>pct.22</w:t>
            </w:r>
            <w:r w:rsidR="00AF6A54" w:rsidRPr="00B56E07">
              <w:rPr>
                <w:rFonts w:ascii="Times New Roman" w:hAnsi="Times New Roman" w:cs="Times New Roman"/>
                <w:color w:val="000000" w:themeColor="text1"/>
                <w:lang w:val="ro-MD"/>
              </w:rPr>
              <w:t xml:space="preserve"> și </w:t>
            </w:r>
            <w:r>
              <w:rPr>
                <w:rFonts w:ascii="Times New Roman" w:hAnsi="Times New Roman" w:cs="Times New Roman"/>
                <w:color w:val="000000" w:themeColor="text1"/>
                <w:lang w:val="ro-MD"/>
              </w:rPr>
              <w:t>23</w:t>
            </w:r>
            <w:r w:rsidR="00AF6A54" w:rsidRPr="00B56E07">
              <w:rPr>
                <w:rFonts w:ascii="Times New Roman" w:hAnsi="Times New Roman" w:cs="Times New Roman"/>
                <w:color w:val="000000" w:themeColor="text1"/>
                <w:lang w:val="ro-MD"/>
              </w:rPr>
              <w:t>.</w:t>
            </w:r>
            <w:r w:rsidR="00AF6A54">
              <w:rPr>
                <w:rFonts w:ascii="Times New Roman" w:hAnsi="Times New Roman" w:cs="Times New Roman"/>
                <w:color w:val="000000" w:themeColor="text1"/>
                <w:lang w:val="ro-MD"/>
              </w:rPr>
              <w:t xml:space="preserve"> </w:t>
            </w:r>
            <w:r w:rsidR="00AF6A54" w:rsidRPr="00B56E07">
              <w:rPr>
                <w:rFonts w:ascii="Times New Roman" w:hAnsi="Times New Roman" w:cs="Times New Roman"/>
                <w:color w:val="000000" w:themeColor="text1"/>
                <w:lang w:val="ro-MD"/>
              </w:rPr>
              <w:t>Fiecare combinație constituie un singur scenariu.</w:t>
            </w:r>
            <w:bookmarkEnd w:id="35"/>
          </w:p>
        </w:tc>
        <w:tc>
          <w:tcPr>
            <w:tcW w:w="450" w:type="pct"/>
          </w:tcPr>
          <w:p w14:paraId="43F84925"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2EA1F10A" w14:textId="77777777" w:rsidR="00AF6A54" w:rsidRPr="00C25E6D" w:rsidRDefault="00AF6A54" w:rsidP="00AF6A54">
            <w:pPr>
              <w:spacing w:line="276" w:lineRule="auto"/>
              <w:rPr>
                <w:rFonts w:ascii="Times New Roman" w:hAnsi="Times New Roman" w:cs="Times New Roman"/>
                <w:color w:val="000000" w:themeColor="text1"/>
                <w:lang w:val="ro-MD"/>
              </w:rPr>
            </w:pPr>
          </w:p>
        </w:tc>
        <w:tc>
          <w:tcPr>
            <w:tcW w:w="1261" w:type="pct"/>
          </w:tcPr>
          <w:p w14:paraId="15A8D385" w14:textId="77777777" w:rsidR="00AF6A54" w:rsidRPr="00C25E6D" w:rsidRDefault="00AF6A54" w:rsidP="00AF6A54">
            <w:pPr>
              <w:spacing w:line="276" w:lineRule="auto"/>
              <w:rPr>
                <w:rFonts w:ascii="Times New Roman" w:hAnsi="Times New Roman" w:cs="Times New Roman"/>
                <w:color w:val="000000" w:themeColor="text1"/>
                <w:lang w:val="ro-MD"/>
              </w:rPr>
            </w:pPr>
          </w:p>
        </w:tc>
      </w:tr>
      <w:tr w:rsidR="00B56E07" w:rsidRPr="00F650AB" w14:paraId="2824942F"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279F712" w14:textId="46D0D746" w:rsidR="00B56E07" w:rsidRPr="006315B0" w:rsidRDefault="00EE5040" w:rsidP="00EE5040">
            <w:pPr>
              <w:spacing w:line="276" w:lineRule="auto"/>
              <w:jc w:val="both"/>
              <w:rPr>
                <w:rFonts w:ascii="Times New Roman" w:hAnsi="Times New Roman" w:cs="Times New Roman"/>
                <w:color w:val="000000" w:themeColor="text1"/>
                <w:lang w:val="ro-MD"/>
              </w:rPr>
            </w:pPr>
            <w:r w:rsidRPr="00EE5040">
              <w:rPr>
                <w:rFonts w:ascii="Times New Roman" w:hAnsi="Times New Roman" w:cs="Times New Roman"/>
                <w:i/>
                <w:iCs/>
                <w:color w:val="000000" w:themeColor="text1"/>
                <w:lang w:val="ro-MD"/>
              </w:rPr>
              <w:t>Articolul 9</w:t>
            </w:r>
            <w:r>
              <w:rPr>
                <w:rFonts w:ascii="Times New Roman" w:hAnsi="Times New Roman" w:cs="Times New Roman"/>
                <w:i/>
                <w:iCs/>
                <w:color w:val="000000" w:themeColor="text1"/>
                <w:lang w:val="ro-MD"/>
              </w:rPr>
              <w:t xml:space="preserve"> </w:t>
            </w:r>
            <w:r w:rsidRPr="00EE5040">
              <w:rPr>
                <w:rFonts w:ascii="Times New Roman" w:hAnsi="Times New Roman" w:cs="Times New Roman"/>
                <w:b/>
                <w:bCs/>
                <w:color w:val="000000" w:themeColor="text1"/>
                <w:lang w:val="ro-MD"/>
              </w:rPr>
              <w:t>Determinarea cerințelor de fonduri proprii în conformitate cu abordarea bazată pe scenarii</w:t>
            </w:r>
          </w:p>
        </w:tc>
        <w:tc>
          <w:tcPr>
            <w:tcW w:w="1692" w:type="pct"/>
          </w:tcPr>
          <w:p w14:paraId="5C08340C" w14:textId="6280B413" w:rsidR="00B56E07" w:rsidRPr="006315B0" w:rsidRDefault="000217C9" w:rsidP="006315B0">
            <w:pPr>
              <w:spacing w:line="276" w:lineRule="auto"/>
              <w:jc w:val="both"/>
              <w:rPr>
                <w:rFonts w:ascii="Times New Roman" w:hAnsi="Times New Roman" w:cs="Times New Roman"/>
                <w:color w:val="000000" w:themeColor="text1"/>
                <w:lang w:val="ro-MD"/>
              </w:rPr>
            </w:pPr>
            <w:bookmarkStart w:id="36" w:name="_Hlk224713326"/>
            <w:r>
              <w:rPr>
                <w:rFonts w:ascii="Times New Roman" w:hAnsi="Times New Roman" w:cs="Times New Roman"/>
                <w:i/>
                <w:iCs/>
                <w:color w:val="000000" w:themeColor="text1"/>
                <w:lang w:val="ro-MD"/>
              </w:rPr>
              <w:t>Secțiunea 8.</w:t>
            </w:r>
            <w:r w:rsidR="00EE5040">
              <w:rPr>
                <w:rFonts w:ascii="Times New Roman" w:hAnsi="Times New Roman" w:cs="Times New Roman"/>
                <w:color w:val="000000" w:themeColor="text1"/>
                <w:lang w:val="ro-MD"/>
              </w:rPr>
              <w:t xml:space="preserve"> </w:t>
            </w:r>
            <w:r w:rsidR="00EE5040" w:rsidRPr="00EE5040">
              <w:rPr>
                <w:rFonts w:ascii="Times New Roman" w:hAnsi="Times New Roman" w:cs="Times New Roman"/>
                <w:b/>
                <w:bCs/>
                <w:color w:val="000000" w:themeColor="text1"/>
                <w:lang w:val="ro-MD"/>
              </w:rPr>
              <w:t>Determinarea cerințelor de fonduri proprii în conformitate cu abordarea bazată pe scenarii</w:t>
            </w:r>
            <w:bookmarkEnd w:id="36"/>
          </w:p>
        </w:tc>
        <w:tc>
          <w:tcPr>
            <w:tcW w:w="450" w:type="pct"/>
          </w:tcPr>
          <w:p w14:paraId="41C18747" w14:textId="77777777" w:rsidR="00B56E07" w:rsidRPr="00C25E6D" w:rsidRDefault="00B56E07" w:rsidP="00E30760">
            <w:pPr>
              <w:spacing w:line="276" w:lineRule="auto"/>
              <w:rPr>
                <w:rFonts w:ascii="Times New Roman" w:hAnsi="Times New Roman" w:cs="Times New Roman"/>
                <w:color w:val="000000" w:themeColor="text1"/>
                <w:lang w:val="ro-MD"/>
              </w:rPr>
            </w:pPr>
          </w:p>
        </w:tc>
        <w:tc>
          <w:tcPr>
            <w:tcW w:w="1261" w:type="pct"/>
          </w:tcPr>
          <w:p w14:paraId="386F7D3E" w14:textId="77777777" w:rsidR="00B56E07" w:rsidRPr="00C25E6D" w:rsidRDefault="00B56E07" w:rsidP="00E30760">
            <w:pPr>
              <w:spacing w:line="276" w:lineRule="auto"/>
              <w:rPr>
                <w:rFonts w:ascii="Times New Roman" w:hAnsi="Times New Roman" w:cs="Times New Roman"/>
                <w:color w:val="000000" w:themeColor="text1"/>
                <w:lang w:val="ro-MD"/>
              </w:rPr>
            </w:pPr>
          </w:p>
        </w:tc>
      </w:tr>
      <w:tr w:rsidR="002710A2" w:rsidRPr="002710A2" w14:paraId="39826898" w14:textId="77777777" w:rsidTr="00B82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1"/>
        </w:trPr>
        <w:tc>
          <w:tcPr>
            <w:tcW w:w="1597" w:type="pct"/>
          </w:tcPr>
          <w:p w14:paraId="12D1AB37" w14:textId="77777777"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lastRenderedPageBreak/>
              <w:t>În conformitate cu abordarea bazată pe scenarii, cerința de fonduri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proprii privind alte riscuri decât riscul delta ale opțiunilor sau ale</w:t>
            </w:r>
            <w:r>
              <w:rPr>
                <w:rFonts w:ascii="Times New Roman" w:hAnsi="Times New Roman" w:cs="Times New Roman"/>
                <w:color w:val="000000" w:themeColor="text1"/>
                <w:lang w:val="ro-MD"/>
              </w:rPr>
              <w:t xml:space="preserve"> </w:t>
            </w:r>
            <w:proofErr w:type="spellStart"/>
            <w:r w:rsidRPr="00EE5040">
              <w:rPr>
                <w:rFonts w:ascii="Times New Roman" w:hAnsi="Times New Roman" w:cs="Times New Roman"/>
                <w:color w:val="000000" w:themeColor="text1"/>
                <w:lang w:val="ro-MD"/>
              </w:rPr>
              <w:t>warranturilor</w:t>
            </w:r>
            <w:proofErr w:type="spellEnd"/>
            <w:r w:rsidRPr="00EE5040">
              <w:rPr>
                <w:rFonts w:ascii="Times New Roman" w:hAnsi="Times New Roman" w:cs="Times New Roman"/>
                <w:color w:val="000000" w:themeColor="text1"/>
                <w:lang w:val="ro-MD"/>
              </w:rPr>
              <w:t xml:space="preserve"> se calculează printr-un proces constând în următoarea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succesiune de etape:</w:t>
            </w:r>
          </w:p>
          <w:p w14:paraId="10A22092" w14:textId="77777777"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 xml:space="preserve">(a) pentru fiecare opțiune individuală sau </w:t>
            </w:r>
            <w:proofErr w:type="spellStart"/>
            <w:r w:rsidRPr="00EE5040">
              <w:rPr>
                <w:rFonts w:ascii="Times New Roman" w:hAnsi="Times New Roman" w:cs="Times New Roman"/>
                <w:color w:val="000000" w:themeColor="text1"/>
                <w:lang w:val="ro-MD"/>
              </w:rPr>
              <w:t>warrant</w:t>
            </w:r>
            <w:proofErr w:type="spellEnd"/>
            <w:r w:rsidRPr="00EE5040">
              <w:rPr>
                <w:rFonts w:ascii="Times New Roman" w:hAnsi="Times New Roman" w:cs="Times New Roman"/>
                <w:color w:val="000000" w:themeColor="text1"/>
                <w:lang w:val="ro-MD"/>
              </w:rPr>
              <w:t xml:space="preserve"> individual, toate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scenariile menționate la articolul 8 se aplică pentru a calcula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pierderea netă simulată corespunzătoare fiecărui scenariu sau</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câștigul net simulat corespunzător fiecărui scenariu. Simularea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respectivă se efectuează utilizându-se metode de reevaluare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completă, prin simularea variațiilor de preț prin utilizarea unor</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modele de stabilire a prețului și fără a se recurge la aproximări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locale ale modelelor respective;</w:t>
            </w:r>
          </w:p>
          <w:p w14:paraId="36C82E5F" w14:textId="77777777"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(b) pentru fiecare tip de suport distinct, astfel cum este menționat 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articolul 5 alineatul (3), se agregă valorile obținute din calculul de 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litera (a) și care se referă la scenariile individuale;</w:t>
            </w:r>
          </w:p>
          <w:p w14:paraId="38A7C83B" w14:textId="77777777"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(c) pentru fiecare tip de suport distinct, astfel cum este menționat 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articolul 5 alineatul (3), „scenariul relevant” se calculează ca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scenariul pentru care valorile determinate în etapa de la litera (b)</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au ca rezultat înregistrarea celei mai mari pierderi sau a celui mai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mic câștig, în cazul în care nu există pierderi;</w:t>
            </w:r>
          </w:p>
          <w:p w14:paraId="17B9517C" w14:textId="77777777"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(d) pentru fiecare tip de suport distinct, astfel cum este menționat 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articolul 5 alineatul (3), cerințele de fonduri proprii se calculează în</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conformitate cu formula descrisă în anexa II;</w:t>
            </w:r>
          </w:p>
          <w:p w14:paraId="6068745C" w14:textId="3B77B18D" w:rsidR="002710A2" w:rsidRPr="006315B0" w:rsidRDefault="002710A2"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(e) cerința totală de fonduri proprii în cazul altor riscuri decât riscul</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delta ale opțiunilor sau ale </w:t>
            </w:r>
            <w:proofErr w:type="spellStart"/>
            <w:r w:rsidRPr="00EE5040">
              <w:rPr>
                <w:rFonts w:ascii="Times New Roman" w:hAnsi="Times New Roman" w:cs="Times New Roman"/>
                <w:color w:val="000000" w:themeColor="text1"/>
                <w:lang w:val="ro-MD"/>
              </w:rPr>
              <w:t>warranturilor</w:t>
            </w:r>
            <w:proofErr w:type="spellEnd"/>
            <w:r w:rsidRPr="00EE5040">
              <w:rPr>
                <w:rFonts w:ascii="Times New Roman" w:hAnsi="Times New Roman" w:cs="Times New Roman"/>
                <w:color w:val="000000" w:themeColor="text1"/>
                <w:lang w:val="ro-MD"/>
              </w:rPr>
              <w:t xml:space="preserve"> este suma cerințelor de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fonduri proprii obținute din calculul menționat în etapa de 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litera (d) pentru toate </w:t>
            </w:r>
            <w:r w:rsidRPr="00EE5040">
              <w:rPr>
                <w:rFonts w:ascii="Times New Roman" w:hAnsi="Times New Roman" w:cs="Times New Roman"/>
                <w:color w:val="000000" w:themeColor="text1"/>
                <w:lang w:val="ro-MD"/>
              </w:rPr>
              <w:lastRenderedPageBreak/>
              <w:t>tipurile de suporturi distincte, astfel cum</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sunt menționate la articolul 5 alineatul (3).</w:t>
            </w:r>
          </w:p>
        </w:tc>
        <w:tc>
          <w:tcPr>
            <w:tcW w:w="1692" w:type="pct"/>
          </w:tcPr>
          <w:p w14:paraId="1BE5615D" w14:textId="77777777" w:rsidR="002710A2" w:rsidRPr="006315B0" w:rsidRDefault="002710A2" w:rsidP="00EE5040">
            <w:pPr>
              <w:spacing w:line="240" w:lineRule="auto"/>
              <w:jc w:val="both"/>
              <w:rPr>
                <w:rFonts w:ascii="Times New Roman" w:hAnsi="Times New Roman" w:cs="Times New Roman"/>
                <w:color w:val="000000" w:themeColor="text1"/>
                <w:lang w:val="ro-MD"/>
              </w:rPr>
            </w:pPr>
            <w:bookmarkStart w:id="37" w:name="_Hlk224713356"/>
            <w:r>
              <w:rPr>
                <w:rFonts w:ascii="Times New Roman" w:hAnsi="Times New Roman" w:cs="Times New Roman"/>
                <w:color w:val="000000" w:themeColor="text1"/>
                <w:lang w:val="ro-MD"/>
              </w:rPr>
              <w:lastRenderedPageBreak/>
              <w:t xml:space="preserve">25. </w:t>
            </w:r>
            <w:r w:rsidRPr="00EE5040">
              <w:rPr>
                <w:rFonts w:ascii="Times New Roman" w:hAnsi="Times New Roman" w:cs="Times New Roman"/>
                <w:color w:val="000000" w:themeColor="text1"/>
                <w:lang w:val="ro-MD"/>
              </w:rPr>
              <w:t>În conformitate cu abordarea bazată pe scenarii, cerința de fonduri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proprii privind alte riscuri decât riscul delta ale opțiunilor sau ale</w:t>
            </w:r>
            <w:r>
              <w:rPr>
                <w:rFonts w:ascii="Times New Roman" w:hAnsi="Times New Roman" w:cs="Times New Roman"/>
                <w:color w:val="000000" w:themeColor="text1"/>
                <w:lang w:val="ro-MD"/>
              </w:rPr>
              <w:t xml:space="preserve"> </w:t>
            </w:r>
            <w:proofErr w:type="spellStart"/>
            <w:r w:rsidRPr="00EE5040">
              <w:rPr>
                <w:rFonts w:ascii="Times New Roman" w:hAnsi="Times New Roman" w:cs="Times New Roman"/>
                <w:color w:val="000000" w:themeColor="text1"/>
                <w:lang w:val="ro-MD"/>
              </w:rPr>
              <w:t>warranturilor</w:t>
            </w:r>
            <w:proofErr w:type="spellEnd"/>
            <w:r w:rsidRPr="00EE5040">
              <w:rPr>
                <w:rFonts w:ascii="Times New Roman" w:hAnsi="Times New Roman" w:cs="Times New Roman"/>
                <w:color w:val="000000" w:themeColor="text1"/>
                <w:lang w:val="ro-MD"/>
              </w:rPr>
              <w:t xml:space="preserve"> se calculează printr-un proces constând în următoarea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succesiune de etape:</w:t>
            </w:r>
          </w:p>
          <w:p w14:paraId="49D4FA8F" w14:textId="020D9C52" w:rsidR="002710A2" w:rsidRPr="006315B0" w:rsidRDefault="002710A2" w:rsidP="00EE5040">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25.1.</w:t>
            </w:r>
            <w:r w:rsidRPr="00EE5040">
              <w:rPr>
                <w:rFonts w:ascii="Times New Roman" w:hAnsi="Times New Roman" w:cs="Times New Roman"/>
                <w:color w:val="000000" w:themeColor="text1"/>
                <w:lang w:val="ro-MD"/>
              </w:rPr>
              <w:t xml:space="preserve"> pentru fiecare opțiune individuală sau </w:t>
            </w:r>
            <w:proofErr w:type="spellStart"/>
            <w:r w:rsidRPr="00EE5040">
              <w:rPr>
                <w:rFonts w:ascii="Times New Roman" w:hAnsi="Times New Roman" w:cs="Times New Roman"/>
                <w:color w:val="000000" w:themeColor="text1"/>
                <w:lang w:val="ro-MD"/>
              </w:rPr>
              <w:t>warrant</w:t>
            </w:r>
            <w:proofErr w:type="spellEnd"/>
            <w:r w:rsidRPr="00EE5040">
              <w:rPr>
                <w:rFonts w:ascii="Times New Roman" w:hAnsi="Times New Roman" w:cs="Times New Roman"/>
                <w:color w:val="000000" w:themeColor="text1"/>
                <w:lang w:val="ro-MD"/>
              </w:rPr>
              <w:t xml:space="preserve"> individual, toate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scenariile menționate la </w:t>
            </w:r>
            <w:r>
              <w:rPr>
                <w:rFonts w:ascii="Times New Roman" w:hAnsi="Times New Roman" w:cs="Times New Roman"/>
                <w:color w:val="000000" w:themeColor="text1"/>
                <w:lang w:val="ro-MD"/>
              </w:rPr>
              <w:t>secțiunea 7</w:t>
            </w:r>
            <w:r w:rsidRPr="00EE5040">
              <w:rPr>
                <w:rFonts w:ascii="Times New Roman" w:hAnsi="Times New Roman" w:cs="Times New Roman"/>
                <w:color w:val="000000" w:themeColor="text1"/>
                <w:lang w:val="ro-MD"/>
              </w:rPr>
              <w:t xml:space="preserve"> se aplică pentru a calcula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pierderea netă simulată corespunzătoare fiecărui scenariu sau</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câștigul net simulat corespunzător fiecărui scenariu. Simularea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respectivă se efectuează utilizându-se metode de reevaluare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completă, prin simularea variațiilor de preț prin utilizarea unor</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modele de stabilire a prețului și fără a se recurge la aproximări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locale ale modelelor respective;</w:t>
            </w:r>
          </w:p>
          <w:p w14:paraId="0A9D2E9F" w14:textId="44D4CEC7" w:rsidR="002710A2" w:rsidRPr="006315B0" w:rsidRDefault="002710A2" w:rsidP="00EE5040">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25.2.</w:t>
            </w:r>
            <w:r w:rsidRPr="00EE5040">
              <w:rPr>
                <w:rFonts w:ascii="Times New Roman" w:hAnsi="Times New Roman" w:cs="Times New Roman"/>
                <w:color w:val="000000" w:themeColor="text1"/>
                <w:lang w:val="ro-MD"/>
              </w:rPr>
              <w:t xml:space="preserve"> pentru fiecare tip de suport distinct, astfel cum este menționat la</w:t>
            </w:r>
            <w:r>
              <w:rPr>
                <w:rFonts w:ascii="Times New Roman" w:hAnsi="Times New Roman" w:cs="Times New Roman"/>
                <w:color w:val="000000" w:themeColor="text1"/>
                <w:lang w:val="ro-MD"/>
              </w:rPr>
              <w:t xml:space="preserve"> pct.16</w:t>
            </w:r>
            <w:r w:rsidRPr="00EE5040">
              <w:rPr>
                <w:rFonts w:ascii="Times New Roman" w:hAnsi="Times New Roman" w:cs="Times New Roman"/>
                <w:color w:val="000000" w:themeColor="text1"/>
                <w:lang w:val="ro-MD"/>
              </w:rPr>
              <w:t>, se agregă valorile obținute din calculul de la</w:t>
            </w:r>
            <w:r>
              <w:rPr>
                <w:rFonts w:ascii="Times New Roman" w:hAnsi="Times New Roman" w:cs="Times New Roman"/>
                <w:color w:val="000000" w:themeColor="text1"/>
                <w:lang w:val="ro-MD"/>
              </w:rPr>
              <w:t>subpct.25.1</w:t>
            </w:r>
            <w:r w:rsidRPr="00EE5040">
              <w:rPr>
                <w:rFonts w:ascii="Times New Roman" w:hAnsi="Times New Roman" w:cs="Times New Roman"/>
                <w:color w:val="000000" w:themeColor="text1"/>
                <w:lang w:val="ro-MD"/>
              </w:rPr>
              <w:t xml:space="preserve"> și care se referă la scenariile individuale;</w:t>
            </w:r>
          </w:p>
          <w:p w14:paraId="4B12481A" w14:textId="27EBCC92" w:rsidR="002710A2" w:rsidRPr="006315B0" w:rsidRDefault="002710A2" w:rsidP="00EE5040">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25.3.</w:t>
            </w:r>
            <w:r w:rsidRPr="00EE5040">
              <w:rPr>
                <w:rFonts w:ascii="Times New Roman" w:hAnsi="Times New Roman" w:cs="Times New Roman"/>
                <w:color w:val="000000" w:themeColor="text1"/>
                <w:lang w:val="ro-MD"/>
              </w:rPr>
              <w:t xml:space="preserve"> pentru fiecare tip de suport distinct, astfel cum este menționat la</w:t>
            </w:r>
            <w:r>
              <w:rPr>
                <w:rFonts w:ascii="Times New Roman" w:hAnsi="Times New Roman" w:cs="Times New Roman"/>
                <w:color w:val="000000" w:themeColor="text1"/>
                <w:lang w:val="ro-MD"/>
              </w:rPr>
              <w:t xml:space="preserve"> pct.16</w:t>
            </w:r>
            <w:r w:rsidRPr="00EE5040">
              <w:rPr>
                <w:rFonts w:ascii="Times New Roman" w:hAnsi="Times New Roman" w:cs="Times New Roman"/>
                <w:color w:val="000000" w:themeColor="text1"/>
                <w:lang w:val="ro-MD"/>
              </w:rPr>
              <w:t>, „scenariul relevant” se calculează ca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scenariul pentru care valorile determinate în etapa de la </w:t>
            </w:r>
            <w:r>
              <w:rPr>
                <w:rFonts w:ascii="Times New Roman" w:hAnsi="Times New Roman" w:cs="Times New Roman"/>
                <w:color w:val="000000" w:themeColor="text1"/>
                <w:lang w:val="ro-MD"/>
              </w:rPr>
              <w:t xml:space="preserve">subpct.25.2 </w:t>
            </w:r>
            <w:r w:rsidRPr="00EE5040">
              <w:rPr>
                <w:rFonts w:ascii="Times New Roman" w:hAnsi="Times New Roman" w:cs="Times New Roman"/>
                <w:color w:val="000000" w:themeColor="text1"/>
                <w:lang w:val="ro-MD"/>
              </w:rPr>
              <w:t>au ca rezultat înregistrarea celei mai mari pierderi sau a celui mai</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mic câștig, în cazul în care nu există pierderi;</w:t>
            </w:r>
          </w:p>
          <w:p w14:paraId="1764EC15" w14:textId="78F0A5BC" w:rsidR="002710A2" w:rsidRPr="006315B0" w:rsidRDefault="002710A2" w:rsidP="00EE5040">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25.4.</w:t>
            </w:r>
            <w:r w:rsidRPr="00EE5040">
              <w:rPr>
                <w:rFonts w:ascii="Times New Roman" w:hAnsi="Times New Roman" w:cs="Times New Roman"/>
                <w:color w:val="000000" w:themeColor="text1"/>
                <w:lang w:val="ro-MD"/>
              </w:rPr>
              <w:t xml:space="preserve"> pentru fiecare tip de suport distinct, astfel cum este menționat la</w:t>
            </w:r>
            <w:r>
              <w:rPr>
                <w:rFonts w:ascii="Times New Roman" w:hAnsi="Times New Roman" w:cs="Times New Roman"/>
                <w:color w:val="000000" w:themeColor="text1"/>
                <w:lang w:val="ro-MD"/>
              </w:rPr>
              <w:t xml:space="preserve"> pct.16</w:t>
            </w:r>
            <w:r w:rsidRPr="00EE5040">
              <w:rPr>
                <w:rFonts w:ascii="Times New Roman" w:hAnsi="Times New Roman" w:cs="Times New Roman"/>
                <w:color w:val="000000" w:themeColor="text1"/>
                <w:lang w:val="ro-MD"/>
              </w:rPr>
              <w:t>, cerințele de fonduri proprii se calculează în</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conformitate cu formula descrisă în </w:t>
            </w:r>
            <w:r>
              <w:rPr>
                <w:rFonts w:ascii="Times New Roman" w:hAnsi="Times New Roman" w:cs="Times New Roman"/>
                <w:color w:val="000000" w:themeColor="text1"/>
                <w:lang w:val="ro-MD"/>
              </w:rPr>
              <w:t>tabelul nr.2</w:t>
            </w:r>
            <w:r w:rsidRPr="00EE5040">
              <w:rPr>
                <w:rFonts w:ascii="Times New Roman" w:hAnsi="Times New Roman" w:cs="Times New Roman"/>
                <w:color w:val="000000" w:themeColor="text1"/>
                <w:lang w:val="ro-MD"/>
              </w:rPr>
              <w:t>;</w:t>
            </w:r>
          </w:p>
          <w:p w14:paraId="2244DF2A" w14:textId="09F70F55" w:rsidR="002710A2" w:rsidRPr="006315B0" w:rsidRDefault="002710A2" w:rsidP="00EE5040">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25.5.</w:t>
            </w:r>
            <w:r w:rsidRPr="00EE5040">
              <w:rPr>
                <w:rFonts w:ascii="Times New Roman" w:hAnsi="Times New Roman" w:cs="Times New Roman"/>
                <w:color w:val="000000" w:themeColor="text1"/>
                <w:lang w:val="ro-MD"/>
              </w:rPr>
              <w:t xml:space="preserve"> cerința totală de fonduri proprii în cazul altor riscuri decât riscul</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delta ale opțiunilor sau ale </w:t>
            </w:r>
            <w:proofErr w:type="spellStart"/>
            <w:r w:rsidRPr="00EE5040">
              <w:rPr>
                <w:rFonts w:ascii="Times New Roman" w:hAnsi="Times New Roman" w:cs="Times New Roman"/>
                <w:color w:val="000000" w:themeColor="text1"/>
                <w:lang w:val="ro-MD"/>
              </w:rPr>
              <w:t>warranturilor</w:t>
            </w:r>
            <w:proofErr w:type="spellEnd"/>
            <w:r w:rsidRPr="00EE5040">
              <w:rPr>
                <w:rFonts w:ascii="Times New Roman" w:hAnsi="Times New Roman" w:cs="Times New Roman"/>
                <w:color w:val="000000" w:themeColor="text1"/>
                <w:lang w:val="ro-MD"/>
              </w:rPr>
              <w:t xml:space="preserve"> este suma cerințelor de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fonduri proprii obținute din calculul menționat în etapa de la</w:t>
            </w:r>
            <w:r>
              <w:rPr>
                <w:rFonts w:ascii="Times New Roman" w:hAnsi="Times New Roman" w:cs="Times New Roman"/>
                <w:color w:val="000000" w:themeColor="text1"/>
                <w:lang w:val="ro-MD"/>
              </w:rPr>
              <w:t xml:space="preserve"> subpct.25.4</w:t>
            </w:r>
            <w:r w:rsidRPr="00EE5040">
              <w:rPr>
                <w:rFonts w:ascii="Times New Roman" w:hAnsi="Times New Roman" w:cs="Times New Roman"/>
                <w:color w:val="000000" w:themeColor="text1"/>
                <w:lang w:val="ro-MD"/>
              </w:rPr>
              <w:t xml:space="preserve"> pentru toate tipurile de suporturi distincte, astfel cum</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 xml:space="preserve">sunt menționate la </w:t>
            </w:r>
            <w:r>
              <w:rPr>
                <w:rFonts w:ascii="Times New Roman" w:hAnsi="Times New Roman" w:cs="Times New Roman"/>
                <w:color w:val="000000" w:themeColor="text1"/>
                <w:lang w:val="ro-MD"/>
              </w:rPr>
              <w:t>pct.16</w:t>
            </w:r>
            <w:r w:rsidRPr="00EE5040">
              <w:rPr>
                <w:rFonts w:ascii="Times New Roman" w:hAnsi="Times New Roman" w:cs="Times New Roman"/>
                <w:color w:val="000000" w:themeColor="text1"/>
                <w:lang w:val="ro-MD"/>
              </w:rPr>
              <w:t>.</w:t>
            </w:r>
            <w:bookmarkEnd w:id="37"/>
          </w:p>
        </w:tc>
        <w:tc>
          <w:tcPr>
            <w:tcW w:w="450" w:type="pct"/>
          </w:tcPr>
          <w:p w14:paraId="100BC16F"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t>compatibil</w:t>
            </w:r>
          </w:p>
          <w:p w14:paraId="47321DC2" w14:textId="77777777" w:rsidR="002710A2" w:rsidRPr="00C25E6D" w:rsidRDefault="002710A2" w:rsidP="00EE5040">
            <w:pPr>
              <w:spacing w:line="276" w:lineRule="auto"/>
              <w:rPr>
                <w:rFonts w:ascii="Times New Roman" w:hAnsi="Times New Roman" w:cs="Times New Roman"/>
                <w:color w:val="000000" w:themeColor="text1"/>
                <w:lang w:val="ro-MD"/>
              </w:rPr>
            </w:pPr>
          </w:p>
        </w:tc>
        <w:tc>
          <w:tcPr>
            <w:tcW w:w="1261" w:type="pct"/>
          </w:tcPr>
          <w:p w14:paraId="68AC6A99" w14:textId="77777777" w:rsidR="002710A2" w:rsidRPr="00C25E6D" w:rsidRDefault="002710A2" w:rsidP="00EE5040">
            <w:pPr>
              <w:spacing w:line="276" w:lineRule="auto"/>
              <w:rPr>
                <w:rFonts w:ascii="Times New Roman" w:hAnsi="Times New Roman" w:cs="Times New Roman"/>
                <w:color w:val="000000" w:themeColor="text1"/>
                <w:lang w:val="ro-MD"/>
              </w:rPr>
            </w:pPr>
          </w:p>
        </w:tc>
      </w:tr>
      <w:tr w:rsidR="00EE5040" w:rsidRPr="006315B0" w14:paraId="3D81FE5C"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CECFD86" w14:textId="24D843F9" w:rsidR="00EE5040" w:rsidRPr="00EE5040" w:rsidRDefault="00EE5040" w:rsidP="00EE5040">
            <w:pPr>
              <w:spacing w:line="276" w:lineRule="auto"/>
              <w:jc w:val="both"/>
              <w:rPr>
                <w:rFonts w:ascii="Times New Roman" w:hAnsi="Times New Roman" w:cs="Times New Roman"/>
                <w:color w:val="000000" w:themeColor="text1"/>
                <w:lang w:val="ro-MD"/>
              </w:rPr>
            </w:pPr>
            <w:r w:rsidRPr="00EE5040">
              <w:rPr>
                <w:rFonts w:ascii="Times New Roman" w:hAnsi="Times New Roman" w:cs="Times New Roman"/>
                <w:i/>
                <w:iCs/>
                <w:color w:val="000000" w:themeColor="text1"/>
                <w:lang w:val="ro-MD"/>
              </w:rPr>
              <w:lastRenderedPageBreak/>
              <w:t>Articolul 10</w:t>
            </w:r>
            <w:r>
              <w:rPr>
                <w:rFonts w:ascii="Times New Roman" w:hAnsi="Times New Roman" w:cs="Times New Roman"/>
                <w:color w:val="000000" w:themeColor="text1"/>
                <w:lang w:val="ro-MD"/>
              </w:rPr>
              <w:t xml:space="preserve"> </w:t>
            </w:r>
            <w:r w:rsidRPr="00EE5040">
              <w:rPr>
                <w:rFonts w:ascii="Times New Roman" w:hAnsi="Times New Roman" w:cs="Times New Roman"/>
                <w:b/>
                <w:bCs/>
                <w:color w:val="000000" w:themeColor="text1"/>
                <w:lang w:val="ro-MD"/>
              </w:rPr>
              <w:t>Intrarea în vigoa</w:t>
            </w:r>
            <w:r>
              <w:rPr>
                <w:rFonts w:ascii="Times New Roman" w:hAnsi="Times New Roman" w:cs="Times New Roman"/>
                <w:b/>
                <w:bCs/>
                <w:color w:val="000000" w:themeColor="text1"/>
                <w:lang w:val="ro-MD"/>
              </w:rPr>
              <w:t>re</w:t>
            </w:r>
          </w:p>
        </w:tc>
        <w:tc>
          <w:tcPr>
            <w:tcW w:w="1692" w:type="pct"/>
          </w:tcPr>
          <w:p w14:paraId="4AC6B5F3" w14:textId="79FD38B2" w:rsidR="00EE5040" w:rsidRPr="006315B0" w:rsidRDefault="00EE5040" w:rsidP="006315B0">
            <w:pPr>
              <w:spacing w:line="276" w:lineRule="auto"/>
              <w:jc w:val="both"/>
              <w:rPr>
                <w:rFonts w:ascii="Times New Roman" w:hAnsi="Times New Roman" w:cs="Times New Roman"/>
                <w:color w:val="000000" w:themeColor="text1"/>
                <w:lang w:val="ro-MD"/>
              </w:rPr>
            </w:pPr>
          </w:p>
        </w:tc>
        <w:tc>
          <w:tcPr>
            <w:tcW w:w="450" w:type="pct"/>
          </w:tcPr>
          <w:p w14:paraId="443F14ED" w14:textId="77777777" w:rsidR="00EE5040" w:rsidRPr="00C25E6D" w:rsidRDefault="00EE5040" w:rsidP="00E30760">
            <w:pPr>
              <w:spacing w:line="276" w:lineRule="auto"/>
              <w:rPr>
                <w:rFonts w:ascii="Times New Roman" w:hAnsi="Times New Roman" w:cs="Times New Roman"/>
                <w:color w:val="000000" w:themeColor="text1"/>
                <w:lang w:val="ro-MD"/>
              </w:rPr>
            </w:pPr>
          </w:p>
        </w:tc>
        <w:tc>
          <w:tcPr>
            <w:tcW w:w="1261" w:type="pct"/>
          </w:tcPr>
          <w:p w14:paraId="4312A648" w14:textId="77777777" w:rsidR="00EE5040" w:rsidRPr="00C25E6D" w:rsidRDefault="00EE5040" w:rsidP="00E30760">
            <w:pPr>
              <w:spacing w:line="276" w:lineRule="auto"/>
              <w:rPr>
                <w:rFonts w:ascii="Times New Roman" w:hAnsi="Times New Roman" w:cs="Times New Roman"/>
                <w:color w:val="000000" w:themeColor="text1"/>
                <w:lang w:val="ro-MD"/>
              </w:rPr>
            </w:pPr>
          </w:p>
        </w:tc>
      </w:tr>
      <w:tr w:rsidR="00EE5040" w:rsidRPr="008D74CE" w14:paraId="69EB26D2"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BEE2660" w14:textId="216FF95C" w:rsidR="00EE5040" w:rsidRPr="00EE5040" w:rsidRDefault="00EE5040"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Prezentul regulament intră în vigoare în a douăzecea zi de la data</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publicării în Jurnalul Oficial al Uniunii Europene.</w:t>
            </w:r>
          </w:p>
          <w:p w14:paraId="60485A37" w14:textId="198AA177" w:rsidR="00EE5040" w:rsidRPr="00EE5040" w:rsidRDefault="00EE5040" w:rsidP="00EE5040">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Prezentul regulament este obligatoriu în toate elementele sale și se</w:t>
            </w:r>
            <w:r>
              <w:rPr>
                <w:rFonts w:ascii="Times New Roman" w:hAnsi="Times New Roman" w:cs="Times New Roman"/>
                <w:color w:val="000000" w:themeColor="text1"/>
                <w:lang w:val="ro-MD"/>
              </w:rPr>
              <w:t xml:space="preserve"> </w:t>
            </w:r>
            <w:r w:rsidRPr="00EE5040">
              <w:rPr>
                <w:rFonts w:ascii="Times New Roman" w:hAnsi="Times New Roman" w:cs="Times New Roman"/>
                <w:color w:val="000000" w:themeColor="text1"/>
                <w:lang w:val="ro-MD"/>
              </w:rPr>
              <w:t>aplică direct în toate statele membre.</w:t>
            </w:r>
          </w:p>
        </w:tc>
        <w:tc>
          <w:tcPr>
            <w:tcW w:w="1692" w:type="pct"/>
          </w:tcPr>
          <w:p w14:paraId="52B9C7A5" w14:textId="789760AC" w:rsidR="00EE5040" w:rsidRPr="006315B0" w:rsidRDefault="00EE5040" w:rsidP="00EE5040">
            <w:pPr>
              <w:spacing w:line="240" w:lineRule="auto"/>
              <w:jc w:val="both"/>
              <w:rPr>
                <w:rFonts w:ascii="Times New Roman" w:hAnsi="Times New Roman" w:cs="Times New Roman"/>
                <w:color w:val="000000" w:themeColor="text1"/>
                <w:lang w:val="ro-MD"/>
              </w:rPr>
            </w:pPr>
          </w:p>
        </w:tc>
        <w:tc>
          <w:tcPr>
            <w:tcW w:w="450" w:type="pct"/>
          </w:tcPr>
          <w:p w14:paraId="3C2CF2B6" w14:textId="1A0A13EB" w:rsidR="00EE5040" w:rsidRPr="00C25E6D" w:rsidRDefault="003431B2" w:rsidP="00E30760">
            <w:pPr>
              <w:spacing w:line="276" w:lineRule="auto"/>
              <w:rPr>
                <w:rFonts w:ascii="Times New Roman" w:hAnsi="Times New Roman" w:cs="Times New Roman"/>
                <w:color w:val="000000" w:themeColor="text1"/>
                <w:lang w:val="ro-MD"/>
              </w:rPr>
            </w:pPr>
            <w:r w:rsidRPr="003431B2">
              <w:rPr>
                <w:rFonts w:ascii="Times New Roman" w:hAnsi="Times New Roman" w:cs="Times New Roman"/>
                <w:color w:val="000000" w:themeColor="text1"/>
                <w:lang w:val="ro-MD"/>
              </w:rPr>
              <w:t>prevederi UE neaplicabile</w:t>
            </w:r>
          </w:p>
        </w:tc>
        <w:tc>
          <w:tcPr>
            <w:tcW w:w="1261" w:type="pct"/>
          </w:tcPr>
          <w:p w14:paraId="23680DEE" w14:textId="77777777" w:rsidR="00EE5040" w:rsidRPr="00C25E6D" w:rsidRDefault="00EE5040" w:rsidP="00E30760">
            <w:pPr>
              <w:spacing w:line="276" w:lineRule="auto"/>
              <w:rPr>
                <w:rFonts w:ascii="Times New Roman" w:hAnsi="Times New Roman" w:cs="Times New Roman"/>
                <w:color w:val="000000" w:themeColor="text1"/>
                <w:lang w:val="ro-MD"/>
              </w:rPr>
            </w:pPr>
          </w:p>
        </w:tc>
      </w:tr>
      <w:tr w:rsidR="00EE5040" w:rsidRPr="006315B0" w14:paraId="26021D97"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BA622A0" w14:textId="477682D7" w:rsidR="00EE5040" w:rsidRPr="00EE5040" w:rsidRDefault="00EE5040" w:rsidP="00EE5040">
            <w:pPr>
              <w:spacing w:line="276" w:lineRule="auto"/>
              <w:jc w:val="both"/>
              <w:rPr>
                <w:rFonts w:ascii="Times New Roman" w:hAnsi="Times New Roman" w:cs="Times New Roman"/>
                <w:color w:val="000000" w:themeColor="text1"/>
                <w:lang w:val="ro-MD"/>
              </w:rPr>
            </w:pPr>
            <w:r w:rsidRPr="00EE5040">
              <w:rPr>
                <w:rFonts w:ascii="Times New Roman" w:hAnsi="Times New Roman" w:cs="Times New Roman"/>
                <w:i/>
                <w:iCs/>
                <w:color w:val="000000" w:themeColor="text1"/>
                <w:lang w:val="ro-MD"/>
              </w:rPr>
              <w:t>ANEXA I</w:t>
            </w:r>
            <w:r>
              <w:rPr>
                <w:rFonts w:ascii="Times New Roman" w:hAnsi="Times New Roman" w:cs="Times New Roman"/>
                <w:color w:val="000000" w:themeColor="text1"/>
                <w:lang w:val="ro-MD"/>
              </w:rPr>
              <w:t xml:space="preserve"> </w:t>
            </w:r>
            <w:r w:rsidRPr="00EE5040">
              <w:rPr>
                <w:rFonts w:ascii="Times New Roman" w:hAnsi="Times New Roman" w:cs="Times New Roman"/>
                <w:b/>
                <w:bCs/>
                <w:color w:val="000000" w:themeColor="text1"/>
                <w:lang w:val="ro-MD"/>
              </w:rPr>
              <w:t>Formulă care trebuie utilizată în sensul articolului 5 alineatul (2)</w:t>
            </w:r>
          </w:p>
        </w:tc>
        <w:tc>
          <w:tcPr>
            <w:tcW w:w="1692" w:type="pct"/>
          </w:tcPr>
          <w:p w14:paraId="7F8AFA56" w14:textId="468D0B73" w:rsidR="00EE5040" w:rsidRPr="006315B0" w:rsidRDefault="001B1ED2" w:rsidP="006315B0">
            <w:pPr>
              <w:spacing w:line="276" w:lineRule="auto"/>
              <w:jc w:val="both"/>
              <w:rPr>
                <w:rFonts w:ascii="Times New Roman" w:hAnsi="Times New Roman" w:cs="Times New Roman"/>
                <w:color w:val="000000" w:themeColor="text1"/>
                <w:lang w:val="ro-MD"/>
              </w:rPr>
            </w:pPr>
            <w:bookmarkStart w:id="38" w:name="_Hlk224713634"/>
            <w:r>
              <w:rPr>
                <w:rFonts w:ascii="Times New Roman" w:hAnsi="Times New Roman" w:cs="Times New Roman"/>
                <w:i/>
                <w:iCs/>
                <w:color w:val="000000" w:themeColor="text1"/>
                <w:lang w:val="ro-MD"/>
              </w:rPr>
              <w:t>Tabelul nr.1</w:t>
            </w:r>
            <w:r w:rsidR="008671B4">
              <w:rPr>
                <w:rFonts w:ascii="Times New Roman" w:hAnsi="Times New Roman" w:cs="Times New Roman"/>
                <w:color w:val="000000" w:themeColor="text1"/>
                <w:lang w:val="ro-MD"/>
              </w:rPr>
              <w:t xml:space="preserve"> </w:t>
            </w:r>
            <w:r w:rsidR="008671B4" w:rsidRPr="00EE5040">
              <w:rPr>
                <w:rFonts w:ascii="Times New Roman" w:hAnsi="Times New Roman" w:cs="Times New Roman"/>
                <w:b/>
                <w:bCs/>
                <w:color w:val="000000" w:themeColor="text1"/>
                <w:lang w:val="ro-MD"/>
              </w:rPr>
              <w:t xml:space="preserve">Formulă care trebuie utilizată în sensul </w:t>
            </w:r>
            <w:r w:rsidR="00CC1692">
              <w:rPr>
                <w:rFonts w:ascii="Times New Roman" w:hAnsi="Times New Roman" w:cs="Times New Roman"/>
                <w:b/>
                <w:bCs/>
                <w:color w:val="000000" w:themeColor="text1"/>
                <w:lang w:val="ro-MD"/>
              </w:rPr>
              <w:t>pct.15</w:t>
            </w:r>
            <w:bookmarkEnd w:id="38"/>
          </w:p>
        </w:tc>
        <w:tc>
          <w:tcPr>
            <w:tcW w:w="450" w:type="pct"/>
          </w:tcPr>
          <w:p w14:paraId="11B2A783" w14:textId="77777777" w:rsidR="00EE5040" w:rsidRPr="00C25E6D" w:rsidRDefault="00EE5040" w:rsidP="00E30760">
            <w:pPr>
              <w:spacing w:line="276" w:lineRule="auto"/>
              <w:rPr>
                <w:rFonts w:ascii="Times New Roman" w:hAnsi="Times New Roman" w:cs="Times New Roman"/>
                <w:color w:val="000000" w:themeColor="text1"/>
                <w:lang w:val="ro-MD"/>
              </w:rPr>
            </w:pPr>
          </w:p>
        </w:tc>
        <w:tc>
          <w:tcPr>
            <w:tcW w:w="1261" w:type="pct"/>
          </w:tcPr>
          <w:p w14:paraId="0DD10038" w14:textId="77777777" w:rsidR="00EE5040" w:rsidRPr="00C25E6D" w:rsidRDefault="00EE5040" w:rsidP="00E30760">
            <w:pPr>
              <w:spacing w:line="276" w:lineRule="auto"/>
              <w:rPr>
                <w:rFonts w:ascii="Times New Roman" w:hAnsi="Times New Roman" w:cs="Times New Roman"/>
                <w:color w:val="000000" w:themeColor="text1"/>
                <w:lang w:val="ro-MD"/>
              </w:rPr>
            </w:pPr>
          </w:p>
        </w:tc>
      </w:tr>
      <w:tr w:rsidR="00EE5040" w:rsidRPr="008D74CE" w14:paraId="61C5B21E"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9938553" w14:textId="77777777" w:rsidR="00EE5040" w:rsidRDefault="00EE5040" w:rsidP="008671B4">
            <w:pPr>
              <w:spacing w:line="240" w:lineRule="auto"/>
              <w:jc w:val="both"/>
              <w:rPr>
                <w:rFonts w:ascii="Times New Roman" w:hAnsi="Times New Roman" w:cs="Times New Roman"/>
                <w:color w:val="000000" w:themeColor="text1"/>
                <w:lang w:val="ro-MD"/>
              </w:rPr>
            </w:pPr>
            <w:r w:rsidRPr="00EE5040">
              <w:rPr>
                <w:rFonts w:ascii="Times New Roman" w:hAnsi="Times New Roman" w:cs="Times New Roman"/>
                <w:color w:val="000000" w:themeColor="text1"/>
                <w:lang w:val="ro-MD"/>
              </w:rPr>
              <w:t>Formulă care trebuie utilizată în sensul articolului 5 alineatul (2):</w:t>
            </w:r>
          </w:p>
          <w:p w14:paraId="6D76AC98" w14:textId="77777777" w:rsidR="008671B4" w:rsidRDefault="008671B4" w:rsidP="008671B4">
            <w:pPr>
              <w:spacing w:line="240" w:lineRule="auto"/>
              <w:jc w:val="both"/>
              <w:rPr>
                <w:rFonts w:ascii="Times New Roman" w:hAnsi="Times New Roman" w:cs="Times New Roman"/>
                <w:color w:val="000000" w:themeColor="text1"/>
                <w:vertAlign w:val="superscript"/>
                <w:lang w:val="ro-MD"/>
              </w:rPr>
            </w:pPr>
            <w:r w:rsidRPr="008671B4">
              <w:rPr>
                <w:rFonts w:ascii="Times New Roman" w:hAnsi="Times New Roman" w:cs="Times New Roman"/>
                <w:color w:val="000000" w:themeColor="text1"/>
                <w:lang w:val="ro-MD"/>
              </w:rPr>
              <w:t>Impactul gamma = 1</w:t>
            </w:r>
            <w:r>
              <w:rPr>
                <w:rFonts w:ascii="Times New Roman" w:hAnsi="Times New Roman" w:cs="Times New Roman"/>
                <w:color w:val="000000" w:themeColor="text1"/>
                <w:lang w:val="ro-MD"/>
              </w:rPr>
              <w:t>/</w:t>
            </w:r>
            <w:r w:rsidRPr="008671B4">
              <w:rPr>
                <w:rFonts w:ascii="Times New Roman" w:hAnsi="Times New Roman" w:cs="Times New Roman"/>
                <w:color w:val="000000" w:themeColor="text1"/>
                <w:lang w:val="ro-MD"/>
              </w:rPr>
              <w:t>2 × gamma × VU</w:t>
            </w:r>
            <w:r w:rsidRPr="008671B4">
              <w:rPr>
                <w:rFonts w:ascii="Times New Roman" w:hAnsi="Times New Roman" w:cs="Times New Roman"/>
                <w:color w:val="000000" w:themeColor="text1"/>
                <w:vertAlign w:val="superscript"/>
                <w:lang w:val="ro-MD"/>
              </w:rPr>
              <w:t>2</w:t>
            </w:r>
          </w:p>
          <w:p w14:paraId="61B53B13"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unde VU:</w:t>
            </w:r>
          </w:p>
          <w:p w14:paraId="1270D92C" w14:textId="30E54E2A"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(a) pentru opțiunile sau </w:t>
            </w:r>
            <w:proofErr w:type="spellStart"/>
            <w:r w:rsidRPr="008671B4">
              <w:rPr>
                <w:rFonts w:ascii="Times New Roman" w:hAnsi="Times New Roman" w:cs="Times New Roman"/>
                <w:color w:val="000000" w:themeColor="text1"/>
                <w:lang w:val="ro-MD"/>
              </w:rPr>
              <w:t>warranturile</w:t>
            </w:r>
            <w:proofErr w:type="spellEnd"/>
            <w:r w:rsidRPr="008671B4">
              <w:rPr>
                <w:rFonts w:ascii="Times New Roman" w:hAnsi="Times New Roman" w:cs="Times New Roman"/>
                <w:color w:val="000000" w:themeColor="text1"/>
                <w:lang w:val="ro-MD"/>
              </w:rPr>
              <w:t xml:space="preserve"> pe rata dobânzii sau pe obligațiuni este egal</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cu variația presupusă a randamentului indicată în tabelul 2 coloana 5 de la</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articolul 339 din Regulamentul (UE) nr. 575/2013;</w:t>
            </w:r>
          </w:p>
          <w:p w14:paraId="71BF344A" w14:textId="497F4FED"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(b) pentru opțiunile sau </w:t>
            </w:r>
            <w:proofErr w:type="spellStart"/>
            <w:r w:rsidRPr="008671B4">
              <w:rPr>
                <w:rFonts w:ascii="Times New Roman" w:hAnsi="Times New Roman" w:cs="Times New Roman"/>
                <w:color w:val="000000" w:themeColor="text1"/>
                <w:lang w:val="ro-MD"/>
              </w:rPr>
              <w:t>warranturile</w:t>
            </w:r>
            <w:proofErr w:type="spellEnd"/>
            <w:r w:rsidRPr="008671B4">
              <w:rPr>
                <w:rFonts w:ascii="Times New Roman" w:hAnsi="Times New Roman" w:cs="Times New Roman"/>
                <w:color w:val="000000" w:themeColor="text1"/>
                <w:lang w:val="ro-MD"/>
              </w:rPr>
              <w:t xml:space="preserve"> pe titluri de capital</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și indici bursieri este</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egal cu valoarea de piață a suportului înmulțită cu ponderarea prevăzută la</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articolul 343 din Regulamentul (UE) nr. 575/2013;</w:t>
            </w:r>
          </w:p>
          <w:p w14:paraId="627C8C35" w14:textId="7A0003EA"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(c) pentru opțiunile sau </w:t>
            </w:r>
            <w:proofErr w:type="spellStart"/>
            <w:r w:rsidRPr="008671B4">
              <w:rPr>
                <w:rFonts w:ascii="Times New Roman" w:hAnsi="Times New Roman" w:cs="Times New Roman"/>
                <w:color w:val="000000" w:themeColor="text1"/>
                <w:lang w:val="ro-MD"/>
              </w:rPr>
              <w:t>warranturile</w:t>
            </w:r>
            <w:proofErr w:type="spellEnd"/>
            <w:r w:rsidRPr="008671B4">
              <w:rPr>
                <w:rFonts w:ascii="Times New Roman" w:hAnsi="Times New Roman" w:cs="Times New Roman"/>
                <w:color w:val="000000" w:themeColor="text1"/>
                <w:lang w:val="ro-MD"/>
              </w:rPr>
              <w:t xml:space="preserve"> pe schimburi valutare și pe aur este egal cu</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 xml:space="preserve">valoarea de piață a </w:t>
            </w:r>
            <w:r w:rsidRPr="008671B4">
              <w:rPr>
                <w:rFonts w:ascii="Times New Roman" w:hAnsi="Times New Roman" w:cs="Times New Roman"/>
                <w:color w:val="000000" w:themeColor="text1"/>
                <w:lang w:val="ro-MD"/>
              </w:rPr>
              <w:lastRenderedPageBreak/>
              <w:t>suportului, calculată în moneda de raportare și înmulțită</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cu ponderarea prevăzută la articolul 351 din Regulamentul (UE) nr. 575/2013</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sau, dacă este cazul, cu ponderarea prevăzută la articolul 354 din Regulamentul(UE) nr. 575/2013;</w:t>
            </w:r>
          </w:p>
          <w:p w14:paraId="28682D49" w14:textId="4C07E2D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(d) pentru opțiunile sau </w:t>
            </w:r>
            <w:proofErr w:type="spellStart"/>
            <w:r w:rsidRPr="008671B4">
              <w:rPr>
                <w:rFonts w:ascii="Times New Roman" w:hAnsi="Times New Roman" w:cs="Times New Roman"/>
                <w:color w:val="000000" w:themeColor="text1"/>
                <w:lang w:val="ro-MD"/>
              </w:rPr>
              <w:t>warranturile</w:t>
            </w:r>
            <w:proofErr w:type="spellEnd"/>
            <w:r w:rsidRPr="008671B4">
              <w:rPr>
                <w:rFonts w:ascii="Times New Roman" w:hAnsi="Times New Roman" w:cs="Times New Roman"/>
                <w:color w:val="000000" w:themeColor="text1"/>
                <w:lang w:val="ro-MD"/>
              </w:rPr>
              <w:t xml:space="preserve"> pe mărfuri, este egal cu valoarea de piață a</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suportului înmulțită cu ponderarea prevăzută la articolul 360 alineatul (1)</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litera (a) din Regulamentul (UE) nr. 575/2013.</w:t>
            </w:r>
          </w:p>
        </w:tc>
        <w:tc>
          <w:tcPr>
            <w:tcW w:w="1692" w:type="pct"/>
          </w:tcPr>
          <w:p w14:paraId="6250D51D" w14:textId="5A94024B" w:rsidR="008671B4" w:rsidRPr="008671B4" w:rsidRDefault="00CC1692" w:rsidP="008671B4">
            <w:pPr>
              <w:spacing w:line="240" w:lineRule="auto"/>
              <w:jc w:val="both"/>
              <w:rPr>
                <w:rFonts w:ascii="Times New Roman" w:hAnsi="Times New Roman" w:cs="Times New Roman"/>
                <w:color w:val="000000" w:themeColor="text1"/>
                <w:lang w:val="ro-MD"/>
              </w:rPr>
            </w:pPr>
            <w:bookmarkStart w:id="39" w:name="_Hlk224713688"/>
            <w:r>
              <w:rPr>
                <w:rFonts w:ascii="Times New Roman" w:hAnsi="Times New Roman" w:cs="Times New Roman"/>
                <w:color w:val="000000" w:themeColor="text1"/>
                <w:lang w:val="ro-MD"/>
              </w:rPr>
              <w:lastRenderedPageBreak/>
              <w:t xml:space="preserve">1. </w:t>
            </w:r>
            <w:r w:rsidR="008671B4" w:rsidRPr="008671B4">
              <w:rPr>
                <w:rFonts w:ascii="Times New Roman" w:hAnsi="Times New Roman" w:cs="Times New Roman"/>
                <w:color w:val="000000" w:themeColor="text1"/>
                <w:lang w:val="ro-MD"/>
              </w:rPr>
              <w:t xml:space="preserve">Formulă care trebuie utilizată în sensul </w:t>
            </w:r>
            <w:r>
              <w:rPr>
                <w:rFonts w:ascii="Times New Roman" w:hAnsi="Times New Roman" w:cs="Times New Roman"/>
                <w:color w:val="000000" w:themeColor="text1"/>
                <w:lang w:val="ro-MD"/>
              </w:rPr>
              <w:t>pct.15</w:t>
            </w:r>
            <w:r w:rsidR="008671B4" w:rsidRPr="008671B4">
              <w:rPr>
                <w:rFonts w:ascii="Times New Roman" w:hAnsi="Times New Roman" w:cs="Times New Roman"/>
                <w:color w:val="000000" w:themeColor="text1"/>
                <w:lang w:val="ro-MD"/>
              </w:rPr>
              <w:t>:</w:t>
            </w:r>
          </w:p>
          <w:p w14:paraId="520CA761"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Impactul gamma = 1/2 × gamma × VU2</w:t>
            </w:r>
          </w:p>
          <w:p w14:paraId="4A7E1904"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unde VU:</w:t>
            </w:r>
          </w:p>
          <w:p w14:paraId="6292940E" w14:textId="6C0BDB12" w:rsidR="008671B4" w:rsidRPr="008671B4" w:rsidRDefault="00CC1692"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1.1.</w:t>
            </w:r>
            <w:r w:rsidR="008671B4" w:rsidRPr="008671B4">
              <w:rPr>
                <w:rFonts w:ascii="Times New Roman" w:hAnsi="Times New Roman" w:cs="Times New Roman"/>
                <w:color w:val="000000" w:themeColor="text1"/>
                <w:lang w:val="ro-MD"/>
              </w:rPr>
              <w:t xml:space="preserve"> pentru opțiunile sau </w:t>
            </w:r>
            <w:proofErr w:type="spellStart"/>
            <w:r w:rsidR="008671B4" w:rsidRPr="008671B4">
              <w:rPr>
                <w:rFonts w:ascii="Times New Roman" w:hAnsi="Times New Roman" w:cs="Times New Roman"/>
                <w:color w:val="000000" w:themeColor="text1"/>
                <w:lang w:val="ro-MD"/>
              </w:rPr>
              <w:t>warranturile</w:t>
            </w:r>
            <w:proofErr w:type="spellEnd"/>
            <w:r w:rsidR="008671B4" w:rsidRPr="008671B4">
              <w:rPr>
                <w:rFonts w:ascii="Times New Roman" w:hAnsi="Times New Roman" w:cs="Times New Roman"/>
                <w:color w:val="000000" w:themeColor="text1"/>
                <w:lang w:val="ro-MD"/>
              </w:rPr>
              <w:t xml:space="preserve"> pe rata dobânzii sau pe obligațiuni este egal cu variația presupusă a randamentului indicată în tabelul 2 coloana 5 de la </w:t>
            </w:r>
            <w:r w:rsidRPr="00CC1692">
              <w:rPr>
                <w:rFonts w:ascii="Times New Roman" w:hAnsi="Times New Roman" w:cs="Times New Roman"/>
                <w:color w:val="000000" w:themeColor="text1"/>
                <w:lang w:val="ro-MD"/>
              </w:rPr>
              <w:t xml:space="preserve">titlul II, capitolul IV, secțiunea 2, subsecțiunea 2, paragraful 1 din Regulamentul </w:t>
            </w:r>
            <w:proofErr w:type="spellStart"/>
            <w:r w:rsidRPr="00CC1692">
              <w:rPr>
                <w:rFonts w:ascii="Times New Roman" w:hAnsi="Times New Roman" w:cs="Times New Roman"/>
                <w:color w:val="000000" w:themeColor="text1"/>
                <w:lang w:val="ro-MD"/>
              </w:rPr>
              <w:t>nr.XX</w:t>
            </w:r>
            <w:proofErr w:type="spellEnd"/>
            <w:r w:rsidRPr="00CC1692">
              <w:rPr>
                <w:rFonts w:ascii="Times New Roman" w:hAnsi="Times New Roman" w:cs="Times New Roman"/>
                <w:color w:val="000000" w:themeColor="text1"/>
                <w:lang w:val="ro-MD"/>
              </w:rPr>
              <w:t>/2026</w:t>
            </w:r>
            <w:r w:rsidR="008671B4" w:rsidRPr="008671B4">
              <w:rPr>
                <w:rFonts w:ascii="Times New Roman" w:hAnsi="Times New Roman" w:cs="Times New Roman"/>
                <w:color w:val="000000" w:themeColor="text1"/>
                <w:lang w:val="ro-MD"/>
              </w:rPr>
              <w:t>;</w:t>
            </w:r>
          </w:p>
          <w:p w14:paraId="2C46C29E" w14:textId="3C2D8B77" w:rsidR="008671B4" w:rsidRPr="008671B4" w:rsidRDefault="00CC1692"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w:t>
            </w:r>
            <w:r w:rsidR="008671B4" w:rsidRPr="008671B4">
              <w:rPr>
                <w:rFonts w:ascii="Times New Roman" w:hAnsi="Times New Roman" w:cs="Times New Roman"/>
                <w:color w:val="000000" w:themeColor="text1"/>
                <w:lang w:val="ro-MD"/>
              </w:rPr>
              <w:t xml:space="preserve"> pentru opțiunile sau </w:t>
            </w:r>
            <w:proofErr w:type="spellStart"/>
            <w:r w:rsidR="008671B4" w:rsidRPr="008671B4">
              <w:rPr>
                <w:rFonts w:ascii="Times New Roman" w:hAnsi="Times New Roman" w:cs="Times New Roman"/>
                <w:color w:val="000000" w:themeColor="text1"/>
                <w:lang w:val="ro-MD"/>
              </w:rPr>
              <w:t>warranturile</w:t>
            </w:r>
            <w:proofErr w:type="spellEnd"/>
            <w:r w:rsidR="008671B4" w:rsidRPr="008671B4">
              <w:rPr>
                <w:rFonts w:ascii="Times New Roman" w:hAnsi="Times New Roman" w:cs="Times New Roman"/>
                <w:color w:val="000000" w:themeColor="text1"/>
                <w:lang w:val="ro-MD"/>
              </w:rPr>
              <w:t xml:space="preserve"> pe titluri de capital și indici bursieri este egal cu valoarea de piață a suportului înmulțită cu ponderarea prevăzută la </w:t>
            </w:r>
            <w:r w:rsidRPr="00CC1692">
              <w:rPr>
                <w:rFonts w:ascii="Times New Roman" w:hAnsi="Times New Roman" w:cs="Times New Roman"/>
                <w:color w:val="000000" w:themeColor="text1"/>
                <w:lang w:val="ro-MD"/>
              </w:rPr>
              <w:t xml:space="preserve">titlul II, capitolul IV, secțiunea 3, subsecțiunea 3 din Regulamentul </w:t>
            </w:r>
            <w:proofErr w:type="spellStart"/>
            <w:r w:rsidRPr="00CC1692">
              <w:rPr>
                <w:rFonts w:ascii="Times New Roman" w:hAnsi="Times New Roman" w:cs="Times New Roman"/>
                <w:color w:val="000000" w:themeColor="text1"/>
                <w:lang w:val="ro-MD"/>
              </w:rPr>
              <w:t>nr.XX</w:t>
            </w:r>
            <w:proofErr w:type="spellEnd"/>
            <w:r w:rsidRPr="00CC1692">
              <w:rPr>
                <w:rFonts w:ascii="Times New Roman" w:hAnsi="Times New Roman" w:cs="Times New Roman"/>
                <w:color w:val="000000" w:themeColor="text1"/>
                <w:lang w:val="ro-MD"/>
              </w:rPr>
              <w:t>/2026</w:t>
            </w:r>
            <w:r w:rsidR="008671B4" w:rsidRPr="008671B4">
              <w:rPr>
                <w:rFonts w:ascii="Times New Roman" w:hAnsi="Times New Roman" w:cs="Times New Roman"/>
                <w:color w:val="000000" w:themeColor="text1"/>
                <w:lang w:val="ro-MD"/>
              </w:rPr>
              <w:t>;</w:t>
            </w:r>
          </w:p>
          <w:p w14:paraId="31A4DF99" w14:textId="1BC50F19" w:rsidR="008671B4" w:rsidRPr="008671B4" w:rsidRDefault="00CC1692"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1.3.</w:t>
            </w:r>
            <w:r w:rsidR="008671B4" w:rsidRPr="008671B4">
              <w:rPr>
                <w:rFonts w:ascii="Times New Roman" w:hAnsi="Times New Roman" w:cs="Times New Roman"/>
                <w:color w:val="000000" w:themeColor="text1"/>
                <w:lang w:val="ro-MD"/>
              </w:rPr>
              <w:t xml:space="preserve"> pentru opțiunile sau </w:t>
            </w:r>
            <w:proofErr w:type="spellStart"/>
            <w:r w:rsidR="008671B4" w:rsidRPr="008671B4">
              <w:rPr>
                <w:rFonts w:ascii="Times New Roman" w:hAnsi="Times New Roman" w:cs="Times New Roman"/>
                <w:color w:val="000000" w:themeColor="text1"/>
                <w:lang w:val="ro-MD"/>
              </w:rPr>
              <w:t>warranturile</w:t>
            </w:r>
            <w:proofErr w:type="spellEnd"/>
            <w:r w:rsidR="008671B4" w:rsidRPr="008671B4">
              <w:rPr>
                <w:rFonts w:ascii="Times New Roman" w:hAnsi="Times New Roman" w:cs="Times New Roman"/>
                <w:color w:val="000000" w:themeColor="text1"/>
                <w:lang w:val="ro-MD"/>
              </w:rPr>
              <w:t xml:space="preserve"> pe schimburi valutare și pe aur este egal cu valoarea de piață a </w:t>
            </w:r>
            <w:r w:rsidR="008671B4" w:rsidRPr="008671B4">
              <w:rPr>
                <w:rFonts w:ascii="Times New Roman" w:hAnsi="Times New Roman" w:cs="Times New Roman"/>
                <w:color w:val="000000" w:themeColor="text1"/>
                <w:lang w:val="ro-MD"/>
              </w:rPr>
              <w:lastRenderedPageBreak/>
              <w:t xml:space="preserve">suportului, calculată în moneda de raportare și înmulțită cu ponderarea prevăzută la </w:t>
            </w:r>
            <w:r w:rsidRPr="00CC1692">
              <w:rPr>
                <w:rFonts w:ascii="Times New Roman" w:hAnsi="Times New Roman" w:cs="Times New Roman"/>
                <w:color w:val="000000" w:themeColor="text1"/>
                <w:lang w:val="ro-MD"/>
              </w:rPr>
              <w:t xml:space="preserve">titlul II, capitolul V, secțiunea 1 din Regulamentul </w:t>
            </w:r>
            <w:proofErr w:type="spellStart"/>
            <w:r w:rsidRPr="00CC1692">
              <w:rPr>
                <w:rFonts w:ascii="Times New Roman" w:hAnsi="Times New Roman" w:cs="Times New Roman"/>
                <w:color w:val="000000" w:themeColor="text1"/>
                <w:lang w:val="ro-MD"/>
              </w:rPr>
              <w:t>nr.XX</w:t>
            </w:r>
            <w:proofErr w:type="spellEnd"/>
            <w:r w:rsidRPr="00CC1692">
              <w:rPr>
                <w:rFonts w:ascii="Times New Roman" w:hAnsi="Times New Roman" w:cs="Times New Roman"/>
                <w:color w:val="000000" w:themeColor="text1"/>
                <w:lang w:val="ro-MD"/>
              </w:rPr>
              <w:t xml:space="preserve">/2026 </w:t>
            </w:r>
            <w:r w:rsidR="008671B4" w:rsidRPr="008671B4">
              <w:rPr>
                <w:rFonts w:ascii="Times New Roman" w:hAnsi="Times New Roman" w:cs="Times New Roman"/>
                <w:color w:val="000000" w:themeColor="text1"/>
                <w:lang w:val="ro-MD"/>
              </w:rPr>
              <w:t xml:space="preserve"> sau, dacă este cazul, cu ponderarea prevăzută la </w:t>
            </w:r>
            <w:r w:rsidR="007C520B" w:rsidRPr="007C520B">
              <w:rPr>
                <w:rFonts w:ascii="Times New Roman" w:hAnsi="Times New Roman" w:cs="Times New Roman"/>
                <w:color w:val="000000" w:themeColor="text1"/>
                <w:lang w:val="ro-MD"/>
              </w:rPr>
              <w:t xml:space="preserve">titlul II, capitolul V, secțiunea 4 din Regulamentul </w:t>
            </w:r>
            <w:proofErr w:type="spellStart"/>
            <w:r w:rsidR="007C520B" w:rsidRPr="007C520B">
              <w:rPr>
                <w:rFonts w:ascii="Times New Roman" w:hAnsi="Times New Roman" w:cs="Times New Roman"/>
                <w:color w:val="000000" w:themeColor="text1"/>
                <w:lang w:val="ro-MD"/>
              </w:rPr>
              <w:t>nr.XX</w:t>
            </w:r>
            <w:proofErr w:type="spellEnd"/>
            <w:r w:rsidR="007C520B" w:rsidRPr="007C520B">
              <w:rPr>
                <w:rFonts w:ascii="Times New Roman" w:hAnsi="Times New Roman" w:cs="Times New Roman"/>
                <w:color w:val="000000" w:themeColor="text1"/>
                <w:lang w:val="ro-MD"/>
              </w:rPr>
              <w:t>/2026</w:t>
            </w:r>
            <w:r w:rsidR="008671B4" w:rsidRPr="008671B4">
              <w:rPr>
                <w:rFonts w:ascii="Times New Roman" w:hAnsi="Times New Roman" w:cs="Times New Roman"/>
                <w:color w:val="000000" w:themeColor="text1"/>
                <w:lang w:val="ro-MD"/>
              </w:rPr>
              <w:t>;</w:t>
            </w:r>
          </w:p>
          <w:p w14:paraId="3F9E1AF8" w14:textId="5CCD855E" w:rsidR="00EE5040" w:rsidRPr="006315B0" w:rsidRDefault="007C520B"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1.4.</w:t>
            </w:r>
            <w:r w:rsidR="008671B4" w:rsidRPr="008671B4">
              <w:rPr>
                <w:rFonts w:ascii="Times New Roman" w:hAnsi="Times New Roman" w:cs="Times New Roman"/>
                <w:color w:val="000000" w:themeColor="text1"/>
                <w:lang w:val="ro-MD"/>
              </w:rPr>
              <w:t xml:space="preserve"> pentru opțiunile sau </w:t>
            </w:r>
            <w:proofErr w:type="spellStart"/>
            <w:r w:rsidR="008671B4" w:rsidRPr="008671B4">
              <w:rPr>
                <w:rFonts w:ascii="Times New Roman" w:hAnsi="Times New Roman" w:cs="Times New Roman"/>
                <w:color w:val="000000" w:themeColor="text1"/>
                <w:lang w:val="ro-MD"/>
              </w:rPr>
              <w:t>warranturile</w:t>
            </w:r>
            <w:proofErr w:type="spellEnd"/>
            <w:r w:rsidR="008671B4" w:rsidRPr="008671B4">
              <w:rPr>
                <w:rFonts w:ascii="Times New Roman" w:hAnsi="Times New Roman" w:cs="Times New Roman"/>
                <w:color w:val="000000" w:themeColor="text1"/>
                <w:lang w:val="ro-MD"/>
              </w:rPr>
              <w:t xml:space="preserve"> pe mărfuri, este egal cu valoarea de piață a suportului înmulțită cu ponderarea prevăzută la </w:t>
            </w:r>
            <w:r w:rsidR="00D17D4A" w:rsidRPr="00D14BD5">
              <w:rPr>
                <w:rFonts w:ascii="Times New Roman" w:hAnsi="Times New Roman" w:cs="Times New Roman"/>
                <w:color w:val="000000" w:themeColor="text1"/>
                <w:lang w:val="ro-MD"/>
              </w:rPr>
              <w:t xml:space="preserve">subpct.530.1 din Regulamentul </w:t>
            </w:r>
            <w:proofErr w:type="spellStart"/>
            <w:r w:rsidR="00D17D4A" w:rsidRPr="00D14BD5">
              <w:rPr>
                <w:rFonts w:ascii="Times New Roman" w:hAnsi="Times New Roman" w:cs="Times New Roman"/>
                <w:color w:val="000000" w:themeColor="text1"/>
                <w:lang w:val="ro-MD"/>
              </w:rPr>
              <w:t>nr.XX</w:t>
            </w:r>
            <w:proofErr w:type="spellEnd"/>
            <w:r w:rsidR="00D17D4A" w:rsidRPr="00D14BD5">
              <w:rPr>
                <w:rFonts w:ascii="Times New Roman" w:hAnsi="Times New Roman" w:cs="Times New Roman"/>
                <w:color w:val="000000" w:themeColor="text1"/>
                <w:lang w:val="ro-MD"/>
              </w:rPr>
              <w:t>/2026.</w:t>
            </w:r>
            <w:r w:rsidR="008671B4" w:rsidRPr="008671B4">
              <w:rPr>
                <w:rFonts w:ascii="Times New Roman" w:hAnsi="Times New Roman" w:cs="Times New Roman"/>
                <w:color w:val="000000" w:themeColor="text1"/>
                <w:lang w:val="ro-MD"/>
              </w:rPr>
              <w:t>.</w:t>
            </w:r>
            <w:bookmarkEnd w:id="39"/>
          </w:p>
        </w:tc>
        <w:tc>
          <w:tcPr>
            <w:tcW w:w="450" w:type="pct"/>
          </w:tcPr>
          <w:p w14:paraId="701DF482"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lastRenderedPageBreak/>
              <w:t>compatibil</w:t>
            </w:r>
          </w:p>
          <w:p w14:paraId="2F7D7795" w14:textId="77777777" w:rsidR="00EE5040" w:rsidRPr="00C25E6D" w:rsidRDefault="00EE5040" w:rsidP="00E30760">
            <w:pPr>
              <w:spacing w:line="276" w:lineRule="auto"/>
              <w:rPr>
                <w:rFonts w:ascii="Times New Roman" w:hAnsi="Times New Roman" w:cs="Times New Roman"/>
                <w:color w:val="000000" w:themeColor="text1"/>
                <w:lang w:val="ro-MD"/>
              </w:rPr>
            </w:pPr>
          </w:p>
        </w:tc>
        <w:tc>
          <w:tcPr>
            <w:tcW w:w="1261" w:type="pct"/>
          </w:tcPr>
          <w:p w14:paraId="7B6160A6" w14:textId="77777777" w:rsidR="00EE5040" w:rsidRPr="00C25E6D" w:rsidRDefault="00EE5040" w:rsidP="00E30760">
            <w:pPr>
              <w:spacing w:line="276" w:lineRule="auto"/>
              <w:rPr>
                <w:rFonts w:ascii="Times New Roman" w:hAnsi="Times New Roman" w:cs="Times New Roman"/>
                <w:color w:val="000000" w:themeColor="text1"/>
                <w:lang w:val="ro-MD"/>
              </w:rPr>
            </w:pPr>
          </w:p>
        </w:tc>
      </w:tr>
      <w:tr w:rsidR="00EE5040" w:rsidRPr="006315B0" w14:paraId="34BA042A"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556298B8" w14:textId="2BF6847C" w:rsidR="00EE5040" w:rsidRPr="008671B4" w:rsidRDefault="008671B4" w:rsidP="008671B4">
            <w:pPr>
              <w:spacing w:line="276" w:lineRule="auto"/>
              <w:jc w:val="both"/>
              <w:rPr>
                <w:rFonts w:ascii="Times New Roman" w:hAnsi="Times New Roman" w:cs="Times New Roman"/>
                <w:i/>
                <w:iCs/>
                <w:color w:val="000000" w:themeColor="text1"/>
                <w:lang w:val="ro-MD"/>
              </w:rPr>
            </w:pPr>
            <w:r w:rsidRPr="008671B4">
              <w:rPr>
                <w:rFonts w:ascii="Times New Roman" w:hAnsi="Times New Roman" w:cs="Times New Roman"/>
                <w:i/>
                <w:iCs/>
                <w:color w:val="000000" w:themeColor="text1"/>
                <w:lang w:val="ro-MD"/>
              </w:rPr>
              <w:t>ANEXA II</w:t>
            </w:r>
            <w:r>
              <w:rPr>
                <w:rFonts w:ascii="Times New Roman" w:hAnsi="Times New Roman" w:cs="Times New Roman"/>
                <w:i/>
                <w:iCs/>
                <w:color w:val="000000" w:themeColor="text1"/>
                <w:lang w:val="ro-MD"/>
              </w:rPr>
              <w:t xml:space="preserve"> </w:t>
            </w:r>
            <w:r w:rsidRPr="008671B4">
              <w:rPr>
                <w:rFonts w:ascii="Times New Roman" w:hAnsi="Times New Roman" w:cs="Times New Roman"/>
                <w:b/>
                <w:bCs/>
                <w:color w:val="000000" w:themeColor="text1"/>
                <w:lang w:val="ro-MD"/>
              </w:rPr>
              <w:t>Formulă care trebuie utilizată în sensul articolului 9 litera (d)</w:t>
            </w:r>
          </w:p>
        </w:tc>
        <w:tc>
          <w:tcPr>
            <w:tcW w:w="1692" w:type="pct"/>
          </w:tcPr>
          <w:p w14:paraId="4289ADF9" w14:textId="67648B74" w:rsidR="00EE5040" w:rsidRPr="006315B0" w:rsidRDefault="001B1ED2" w:rsidP="00E16808">
            <w:pPr>
              <w:spacing w:line="276" w:lineRule="auto"/>
              <w:jc w:val="both"/>
              <w:rPr>
                <w:rFonts w:ascii="Times New Roman" w:hAnsi="Times New Roman" w:cs="Times New Roman"/>
                <w:color w:val="000000" w:themeColor="text1"/>
                <w:lang w:val="ro-MD"/>
              </w:rPr>
            </w:pPr>
            <w:bookmarkStart w:id="40" w:name="_Hlk224713749"/>
            <w:r>
              <w:rPr>
                <w:rFonts w:ascii="Times New Roman" w:hAnsi="Times New Roman" w:cs="Times New Roman"/>
                <w:i/>
                <w:iCs/>
                <w:color w:val="000000" w:themeColor="text1"/>
                <w:lang w:val="ro-MD"/>
              </w:rPr>
              <w:t>Tabelul nr.2</w:t>
            </w:r>
            <w:r w:rsidR="008671B4">
              <w:rPr>
                <w:rFonts w:ascii="Times New Roman" w:hAnsi="Times New Roman" w:cs="Times New Roman"/>
                <w:i/>
                <w:iCs/>
                <w:color w:val="000000" w:themeColor="text1"/>
                <w:lang w:val="ro-MD"/>
              </w:rPr>
              <w:t xml:space="preserve"> </w:t>
            </w:r>
            <w:r w:rsidR="008671B4" w:rsidRPr="008671B4">
              <w:rPr>
                <w:rFonts w:ascii="Times New Roman" w:hAnsi="Times New Roman" w:cs="Times New Roman"/>
                <w:b/>
                <w:bCs/>
                <w:color w:val="000000" w:themeColor="text1"/>
                <w:lang w:val="ro-MD"/>
              </w:rPr>
              <w:t xml:space="preserve">Formulă care trebuie utilizată în sensul </w:t>
            </w:r>
            <w:r w:rsidR="00E16808" w:rsidRPr="00E16808">
              <w:rPr>
                <w:rFonts w:ascii="Times New Roman" w:hAnsi="Times New Roman" w:cs="Times New Roman"/>
                <w:b/>
                <w:bCs/>
                <w:color w:val="000000" w:themeColor="text1"/>
                <w:lang w:val="ro-MD"/>
              </w:rPr>
              <w:t>subpct.25.4</w:t>
            </w:r>
            <w:bookmarkEnd w:id="40"/>
          </w:p>
        </w:tc>
        <w:tc>
          <w:tcPr>
            <w:tcW w:w="450" w:type="pct"/>
          </w:tcPr>
          <w:p w14:paraId="36E40F36" w14:textId="77777777" w:rsidR="00EE5040" w:rsidRPr="00C25E6D" w:rsidRDefault="00EE5040" w:rsidP="00E30760">
            <w:pPr>
              <w:spacing w:line="276" w:lineRule="auto"/>
              <w:rPr>
                <w:rFonts w:ascii="Times New Roman" w:hAnsi="Times New Roman" w:cs="Times New Roman"/>
                <w:color w:val="000000" w:themeColor="text1"/>
                <w:lang w:val="ro-MD"/>
              </w:rPr>
            </w:pPr>
          </w:p>
        </w:tc>
        <w:tc>
          <w:tcPr>
            <w:tcW w:w="1261" w:type="pct"/>
          </w:tcPr>
          <w:p w14:paraId="662857B7" w14:textId="77777777" w:rsidR="00EE5040" w:rsidRPr="00C25E6D" w:rsidRDefault="00EE5040" w:rsidP="00E30760">
            <w:pPr>
              <w:spacing w:line="276" w:lineRule="auto"/>
              <w:rPr>
                <w:rFonts w:ascii="Times New Roman" w:hAnsi="Times New Roman" w:cs="Times New Roman"/>
                <w:color w:val="000000" w:themeColor="text1"/>
                <w:lang w:val="ro-MD"/>
              </w:rPr>
            </w:pPr>
          </w:p>
        </w:tc>
      </w:tr>
      <w:tr w:rsidR="00EE5040" w:rsidRPr="008D74CE" w14:paraId="4D5A4340"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6CE5F7C" w14:textId="77777777" w:rsidR="00EE5040"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Formulă care trebuie utilizată în sensul articolului 9 litera (d)</w:t>
            </w:r>
          </w:p>
          <w:p w14:paraId="0A7F2360" w14:textId="1007869A" w:rsidR="008671B4" w:rsidRDefault="008671B4"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Cerință de fonduri proprii = – min (0,PC-DE),</w:t>
            </w:r>
          </w:p>
          <w:p w14:paraId="7D34D398"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unde:</w:t>
            </w:r>
          </w:p>
          <w:p w14:paraId="260C49D4" w14:textId="08ABF998"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(a) PC („Price </w:t>
            </w:r>
            <w:proofErr w:type="spellStart"/>
            <w:r w:rsidRPr="008671B4">
              <w:rPr>
                <w:rFonts w:ascii="Times New Roman" w:hAnsi="Times New Roman" w:cs="Times New Roman"/>
                <w:color w:val="000000" w:themeColor="text1"/>
                <w:lang w:val="ro-MD"/>
              </w:rPr>
              <w:t>Change</w:t>
            </w:r>
            <w:proofErr w:type="spellEnd"/>
            <w:r w:rsidRPr="008671B4">
              <w:rPr>
                <w:rFonts w:ascii="Times New Roman" w:hAnsi="Times New Roman" w:cs="Times New Roman"/>
                <w:color w:val="000000" w:themeColor="text1"/>
                <w:lang w:val="ro-MD"/>
              </w:rPr>
              <w:t>” — variația de preț) este suma variațiilor de preț al</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opțiunilor cu același tip de suport distinct, înțeles în modul descris la</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articolul 5 alineatul (3) (semn negativ pentru pierderi și semn pozitiv</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pentru câștiguri) și care corespunde scenariului relevant determinat</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 xml:space="preserve">în etapa (c) de la articolul 9; </w:t>
            </w:r>
          </w:p>
          <w:p w14:paraId="38071E85" w14:textId="77777777" w:rsid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(b) DE („delta </w:t>
            </w:r>
            <w:proofErr w:type="spellStart"/>
            <w:r w:rsidRPr="008671B4">
              <w:rPr>
                <w:rFonts w:ascii="Times New Roman" w:hAnsi="Times New Roman" w:cs="Times New Roman"/>
                <w:color w:val="000000" w:themeColor="text1"/>
                <w:lang w:val="ro-MD"/>
              </w:rPr>
              <w:t>effect</w:t>
            </w:r>
            <w:proofErr w:type="spellEnd"/>
            <w:r w:rsidRPr="008671B4">
              <w:rPr>
                <w:rFonts w:ascii="Times New Roman" w:hAnsi="Times New Roman" w:cs="Times New Roman"/>
                <w:color w:val="000000" w:themeColor="text1"/>
                <w:lang w:val="ro-MD"/>
              </w:rPr>
              <w:t>” — efectul delta) este efectul delta calculat după cum</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urmează:</w:t>
            </w:r>
          </w:p>
          <w:p w14:paraId="032B9A8D" w14:textId="77777777" w:rsidR="008671B4" w:rsidRDefault="008671B4"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lastRenderedPageBreak/>
              <w:t xml:space="preserve">                </w:t>
            </w:r>
            <w:r w:rsidRPr="008671B4">
              <w:rPr>
                <w:rFonts w:ascii="Times New Roman" w:hAnsi="Times New Roman" w:cs="Times New Roman"/>
                <w:color w:val="000000" w:themeColor="text1"/>
                <w:lang w:val="ro-MD"/>
              </w:rPr>
              <w:t>DE = ADEV × PPCU,</w:t>
            </w:r>
          </w:p>
          <w:p w14:paraId="689FE325"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unde:</w:t>
            </w:r>
          </w:p>
          <w:p w14:paraId="0A3345CE" w14:textId="4EC29A36"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(i) ADEV („</w:t>
            </w:r>
            <w:proofErr w:type="spellStart"/>
            <w:r w:rsidRPr="008671B4">
              <w:rPr>
                <w:rFonts w:ascii="Times New Roman" w:hAnsi="Times New Roman" w:cs="Times New Roman"/>
                <w:color w:val="000000" w:themeColor="text1"/>
                <w:lang w:val="ro-MD"/>
              </w:rPr>
              <w:t>aggregated</w:t>
            </w:r>
            <w:proofErr w:type="spellEnd"/>
            <w:r w:rsidRPr="008671B4">
              <w:rPr>
                <w:rFonts w:ascii="Times New Roman" w:hAnsi="Times New Roman" w:cs="Times New Roman"/>
                <w:color w:val="000000" w:themeColor="text1"/>
                <w:lang w:val="ro-MD"/>
              </w:rPr>
              <w:t xml:space="preserve"> delta </w:t>
            </w:r>
            <w:proofErr w:type="spellStart"/>
            <w:r w:rsidRPr="008671B4">
              <w:rPr>
                <w:rFonts w:ascii="Times New Roman" w:hAnsi="Times New Roman" w:cs="Times New Roman"/>
                <w:color w:val="000000" w:themeColor="text1"/>
                <w:lang w:val="ro-MD"/>
              </w:rPr>
              <w:t>equivalent</w:t>
            </w:r>
            <w:proofErr w:type="spellEnd"/>
            <w:r w:rsidRPr="008671B4">
              <w:rPr>
                <w:rFonts w:ascii="Times New Roman" w:hAnsi="Times New Roman" w:cs="Times New Roman"/>
                <w:color w:val="000000" w:themeColor="text1"/>
                <w:lang w:val="ro-MD"/>
              </w:rPr>
              <w:t xml:space="preserve"> </w:t>
            </w:r>
            <w:proofErr w:type="spellStart"/>
            <w:r w:rsidRPr="008671B4">
              <w:rPr>
                <w:rFonts w:ascii="Times New Roman" w:hAnsi="Times New Roman" w:cs="Times New Roman"/>
                <w:color w:val="000000" w:themeColor="text1"/>
                <w:lang w:val="ro-MD"/>
              </w:rPr>
              <w:t>value</w:t>
            </w:r>
            <w:proofErr w:type="spellEnd"/>
            <w:r w:rsidRPr="008671B4">
              <w:rPr>
                <w:rFonts w:ascii="Times New Roman" w:hAnsi="Times New Roman" w:cs="Times New Roman"/>
                <w:color w:val="000000" w:themeColor="text1"/>
                <w:lang w:val="ro-MD"/>
              </w:rPr>
              <w:t>” — valoarea echivalentului delta</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agregat) este suma valorilor delta negative sau pozitive ale opțiunilor care au</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același tip de suport distinct, înțeles în modul descris la articolul 5 alineatul</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(3), înmulțită cu valoarea de piață a suportului contractului;</w:t>
            </w:r>
          </w:p>
          <w:p w14:paraId="5D6D8DBB" w14:textId="1639F2CF" w:rsidR="008671B4" w:rsidRPr="00EE5040"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(ii) PPCU („</w:t>
            </w:r>
            <w:proofErr w:type="spellStart"/>
            <w:r w:rsidRPr="008671B4">
              <w:rPr>
                <w:rFonts w:ascii="Times New Roman" w:hAnsi="Times New Roman" w:cs="Times New Roman"/>
                <w:color w:val="000000" w:themeColor="text1"/>
                <w:lang w:val="ro-MD"/>
              </w:rPr>
              <w:t>percentage</w:t>
            </w:r>
            <w:proofErr w:type="spellEnd"/>
            <w:r w:rsidRPr="008671B4">
              <w:rPr>
                <w:rFonts w:ascii="Times New Roman" w:hAnsi="Times New Roman" w:cs="Times New Roman"/>
                <w:color w:val="000000" w:themeColor="text1"/>
                <w:lang w:val="ro-MD"/>
              </w:rPr>
              <w:t xml:space="preserve"> price </w:t>
            </w:r>
            <w:proofErr w:type="spellStart"/>
            <w:r w:rsidRPr="008671B4">
              <w:rPr>
                <w:rFonts w:ascii="Times New Roman" w:hAnsi="Times New Roman" w:cs="Times New Roman"/>
                <w:color w:val="000000" w:themeColor="text1"/>
                <w:lang w:val="ro-MD"/>
              </w:rPr>
              <w:t>change</w:t>
            </w:r>
            <w:proofErr w:type="spellEnd"/>
            <w:r w:rsidRPr="008671B4">
              <w:rPr>
                <w:rFonts w:ascii="Times New Roman" w:hAnsi="Times New Roman" w:cs="Times New Roman"/>
                <w:color w:val="000000" w:themeColor="text1"/>
                <w:lang w:val="ro-MD"/>
              </w:rPr>
              <w:t xml:space="preserve"> of </w:t>
            </w:r>
            <w:proofErr w:type="spellStart"/>
            <w:r w:rsidRPr="008671B4">
              <w:rPr>
                <w:rFonts w:ascii="Times New Roman" w:hAnsi="Times New Roman" w:cs="Times New Roman"/>
                <w:color w:val="000000" w:themeColor="text1"/>
                <w:lang w:val="ro-MD"/>
              </w:rPr>
              <w:t>the</w:t>
            </w:r>
            <w:proofErr w:type="spellEnd"/>
            <w:r w:rsidRPr="008671B4">
              <w:rPr>
                <w:rFonts w:ascii="Times New Roman" w:hAnsi="Times New Roman" w:cs="Times New Roman"/>
                <w:color w:val="000000" w:themeColor="text1"/>
                <w:lang w:val="ro-MD"/>
              </w:rPr>
              <w:t xml:space="preserve"> </w:t>
            </w:r>
            <w:proofErr w:type="spellStart"/>
            <w:r w:rsidRPr="008671B4">
              <w:rPr>
                <w:rFonts w:ascii="Times New Roman" w:hAnsi="Times New Roman" w:cs="Times New Roman"/>
                <w:color w:val="000000" w:themeColor="text1"/>
                <w:lang w:val="ro-MD"/>
              </w:rPr>
              <w:t>underlying</w:t>
            </w:r>
            <w:proofErr w:type="spellEnd"/>
            <w:r w:rsidRPr="008671B4">
              <w:rPr>
                <w:rFonts w:ascii="Times New Roman" w:hAnsi="Times New Roman" w:cs="Times New Roman"/>
                <w:color w:val="000000" w:themeColor="text1"/>
                <w:lang w:val="ro-MD"/>
              </w:rPr>
              <w:t>” — procentajul variației</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de preț al suportului) este procentajul variației de preț al suportului, înțeles în</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modul descris la articolul 5 alineatul (3), care corespunde scenariului</w:t>
            </w:r>
            <w:r>
              <w:rPr>
                <w:rFonts w:ascii="Times New Roman" w:hAnsi="Times New Roman" w:cs="Times New Roman"/>
                <w:color w:val="000000" w:themeColor="text1"/>
                <w:lang w:val="ro-MD"/>
              </w:rPr>
              <w:t xml:space="preserve"> </w:t>
            </w:r>
            <w:r w:rsidRPr="008671B4">
              <w:rPr>
                <w:rFonts w:ascii="Times New Roman" w:hAnsi="Times New Roman" w:cs="Times New Roman"/>
                <w:color w:val="000000" w:themeColor="text1"/>
                <w:lang w:val="ro-MD"/>
              </w:rPr>
              <w:t xml:space="preserve">relevant determinat în etapa (c) de la articolul 9. </w:t>
            </w:r>
          </w:p>
        </w:tc>
        <w:tc>
          <w:tcPr>
            <w:tcW w:w="1692" w:type="pct"/>
          </w:tcPr>
          <w:p w14:paraId="46E5A02E" w14:textId="3089A3ED" w:rsidR="008671B4" w:rsidRPr="008671B4" w:rsidRDefault="007C520B" w:rsidP="008671B4">
            <w:pPr>
              <w:spacing w:line="240" w:lineRule="auto"/>
              <w:jc w:val="both"/>
              <w:rPr>
                <w:rFonts w:ascii="Times New Roman" w:hAnsi="Times New Roman" w:cs="Times New Roman"/>
                <w:color w:val="000000" w:themeColor="text1"/>
                <w:lang w:val="ro-MD"/>
              </w:rPr>
            </w:pPr>
            <w:bookmarkStart w:id="41" w:name="_Hlk224713798"/>
            <w:r>
              <w:rPr>
                <w:rFonts w:ascii="Times New Roman" w:hAnsi="Times New Roman" w:cs="Times New Roman"/>
                <w:color w:val="000000" w:themeColor="text1"/>
                <w:lang w:val="ro-MD"/>
              </w:rPr>
              <w:lastRenderedPageBreak/>
              <w:t xml:space="preserve">1. </w:t>
            </w:r>
            <w:r w:rsidR="008671B4" w:rsidRPr="008671B4">
              <w:rPr>
                <w:rFonts w:ascii="Times New Roman" w:hAnsi="Times New Roman" w:cs="Times New Roman"/>
                <w:color w:val="000000" w:themeColor="text1"/>
                <w:lang w:val="ro-MD"/>
              </w:rPr>
              <w:t xml:space="preserve">Formulă care trebuie utilizată în sensul </w:t>
            </w:r>
            <w:r>
              <w:rPr>
                <w:rFonts w:ascii="Times New Roman" w:hAnsi="Times New Roman" w:cs="Times New Roman"/>
                <w:color w:val="000000" w:themeColor="text1"/>
                <w:lang w:val="ro-MD"/>
              </w:rPr>
              <w:t>subpct.25.4</w:t>
            </w:r>
          </w:p>
          <w:p w14:paraId="723ED542"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       Cerință de fonduri proprii = – min (0,PC-DE),</w:t>
            </w:r>
          </w:p>
          <w:p w14:paraId="6F8828EE"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unde:</w:t>
            </w:r>
          </w:p>
          <w:p w14:paraId="5597184A" w14:textId="6242DD18" w:rsidR="008671B4" w:rsidRPr="008671B4" w:rsidRDefault="007C520B"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1.1.</w:t>
            </w:r>
            <w:r w:rsidR="008671B4" w:rsidRPr="008671B4">
              <w:rPr>
                <w:rFonts w:ascii="Times New Roman" w:hAnsi="Times New Roman" w:cs="Times New Roman"/>
                <w:color w:val="000000" w:themeColor="text1"/>
                <w:lang w:val="ro-MD"/>
              </w:rPr>
              <w:t xml:space="preserve"> PC („Price </w:t>
            </w:r>
            <w:proofErr w:type="spellStart"/>
            <w:r w:rsidR="008671B4" w:rsidRPr="008671B4">
              <w:rPr>
                <w:rFonts w:ascii="Times New Roman" w:hAnsi="Times New Roman" w:cs="Times New Roman"/>
                <w:color w:val="000000" w:themeColor="text1"/>
                <w:lang w:val="ro-MD"/>
              </w:rPr>
              <w:t>Change</w:t>
            </w:r>
            <w:proofErr w:type="spellEnd"/>
            <w:r w:rsidR="008671B4" w:rsidRPr="008671B4">
              <w:rPr>
                <w:rFonts w:ascii="Times New Roman" w:hAnsi="Times New Roman" w:cs="Times New Roman"/>
                <w:color w:val="000000" w:themeColor="text1"/>
                <w:lang w:val="ro-MD"/>
              </w:rPr>
              <w:t xml:space="preserve">” — variația de preț) este suma variațiilor de preț al opțiunilor cu același tip de suport distinct, înțeles în modul descris la </w:t>
            </w:r>
            <w:r>
              <w:rPr>
                <w:rFonts w:ascii="Times New Roman" w:hAnsi="Times New Roman" w:cs="Times New Roman"/>
                <w:color w:val="000000" w:themeColor="text1"/>
                <w:lang w:val="ro-MD"/>
              </w:rPr>
              <w:t>pct.16</w:t>
            </w:r>
            <w:r w:rsidR="008671B4" w:rsidRPr="008671B4">
              <w:rPr>
                <w:rFonts w:ascii="Times New Roman" w:hAnsi="Times New Roman" w:cs="Times New Roman"/>
                <w:color w:val="000000" w:themeColor="text1"/>
                <w:lang w:val="ro-MD"/>
              </w:rPr>
              <w:t xml:space="preserve"> (semn negativ pentru pierderi și semn pozitiv pentru câștiguri) și care corespunde scenariului relevant determinat în etapa </w:t>
            </w:r>
            <w:r>
              <w:rPr>
                <w:rFonts w:ascii="Times New Roman" w:hAnsi="Times New Roman" w:cs="Times New Roman"/>
                <w:color w:val="000000" w:themeColor="text1"/>
                <w:lang w:val="ro-MD"/>
              </w:rPr>
              <w:t>prevăzută la subpct.25.3</w:t>
            </w:r>
            <w:r w:rsidR="008671B4" w:rsidRPr="008671B4">
              <w:rPr>
                <w:rFonts w:ascii="Times New Roman" w:hAnsi="Times New Roman" w:cs="Times New Roman"/>
                <w:color w:val="000000" w:themeColor="text1"/>
                <w:lang w:val="ro-MD"/>
              </w:rPr>
              <w:t xml:space="preserve">; </w:t>
            </w:r>
          </w:p>
          <w:p w14:paraId="208BA308" w14:textId="3A28D5A2" w:rsidR="008671B4" w:rsidRPr="008671B4" w:rsidRDefault="007C520B"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w:t>
            </w:r>
            <w:r w:rsidR="008671B4" w:rsidRPr="008671B4">
              <w:rPr>
                <w:rFonts w:ascii="Times New Roman" w:hAnsi="Times New Roman" w:cs="Times New Roman"/>
                <w:color w:val="000000" w:themeColor="text1"/>
                <w:lang w:val="ro-MD"/>
              </w:rPr>
              <w:t xml:space="preserve"> DE („delta </w:t>
            </w:r>
            <w:proofErr w:type="spellStart"/>
            <w:r w:rsidR="008671B4" w:rsidRPr="008671B4">
              <w:rPr>
                <w:rFonts w:ascii="Times New Roman" w:hAnsi="Times New Roman" w:cs="Times New Roman"/>
                <w:color w:val="000000" w:themeColor="text1"/>
                <w:lang w:val="ro-MD"/>
              </w:rPr>
              <w:t>effect</w:t>
            </w:r>
            <w:proofErr w:type="spellEnd"/>
            <w:r w:rsidR="008671B4" w:rsidRPr="008671B4">
              <w:rPr>
                <w:rFonts w:ascii="Times New Roman" w:hAnsi="Times New Roman" w:cs="Times New Roman"/>
                <w:color w:val="000000" w:themeColor="text1"/>
                <w:lang w:val="ro-MD"/>
              </w:rPr>
              <w:t>” — efectul delta) este efectul delta calculat după cum urmează:</w:t>
            </w:r>
          </w:p>
          <w:p w14:paraId="27FA1CB6"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t xml:space="preserve">                DE = ADEV × PPCU,</w:t>
            </w:r>
          </w:p>
          <w:p w14:paraId="412C2B70" w14:textId="77777777" w:rsidR="008671B4" w:rsidRPr="008671B4" w:rsidRDefault="008671B4" w:rsidP="008671B4">
            <w:pPr>
              <w:spacing w:line="240" w:lineRule="auto"/>
              <w:jc w:val="both"/>
              <w:rPr>
                <w:rFonts w:ascii="Times New Roman" w:hAnsi="Times New Roman" w:cs="Times New Roman"/>
                <w:color w:val="000000" w:themeColor="text1"/>
                <w:lang w:val="ro-MD"/>
              </w:rPr>
            </w:pPr>
            <w:r w:rsidRPr="008671B4">
              <w:rPr>
                <w:rFonts w:ascii="Times New Roman" w:hAnsi="Times New Roman" w:cs="Times New Roman"/>
                <w:color w:val="000000" w:themeColor="text1"/>
                <w:lang w:val="ro-MD"/>
              </w:rPr>
              <w:lastRenderedPageBreak/>
              <w:t>unde:</w:t>
            </w:r>
          </w:p>
          <w:p w14:paraId="568B3FCD" w14:textId="34B1551A" w:rsidR="008671B4" w:rsidRPr="008671B4" w:rsidRDefault="007C520B"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1.2.1.</w:t>
            </w:r>
            <w:r w:rsidR="008671B4" w:rsidRPr="008671B4">
              <w:rPr>
                <w:rFonts w:ascii="Times New Roman" w:hAnsi="Times New Roman" w:cs="Times New Roman"/>
                <w:color w:val="000000" w:themeColor="text1"/>
                <w:lang w:val="ro-MD"/>
              </w:rPr>
              <w:t xml:space="preserve"> ADEV („</w:t>
            </w:r>
            <w:proofErr w:type="spellStart"/>
            <w:r w:rsidR="008671B4" w:rsidRPr="008671B4">
              <w:rPr>
                <w:rFonts w:ascii="Times New Roman" w:hAnsi="Times New Roman" w:cs="Times New Roman"/>
                <w:color w:val="000000" w:themeColor="text1"/>
                <w:lang w:val="ro-MD"/>
              </w:rPr>
              <w:t>aggregated</w:t>
            </w:r>
            <w:proofErr w:type="spellEnd"/>
            <w:r w:rsidR="008671B4" w:rsidRPr="008671B4">
              <w:rPr>
                <w:rFonts w:ascii="Times New Roman" w:hAnsi="Times New Roman" w:cs="Times New Roman"/>
                <w:color w:val="000000" w:themeColor="text1"/>
                <w:lang w:val="ro-MD"/>
              </w:rPr>
              <w:t xml:space="preserve"> delta </w:t>
            </w:r>
            <w:proofErr w:type="spellStart"/>
            <w:r w:rsidR="008671B4" w:rsidRPr="008671B4">
              <w:rPr>
                <w:rFonts w:ascii="Times New Roman" w:hAnsi="Times New Roman" w:cs="Times New Roman"/>
                <w:color w:val="000000" w:themeColor="text1"/>
                <w:lang w:val="ro-MD"/>
              </w:rPr>
              <w:t>equivalent</w:t>
            </w:r>
            <w:proofErr w:type="spellEnd"/>
            <w:r w:rsidR="008671B4" w:rsidRPr="008671B4">
              <w:rPr>
                <w:rFonts w:ascii="Times New Roman" w:hAnsi="Times New Roman" w:cs="Times New Roman"/>
                <w:color w:val="000000" w:themeColor="text1"/>
                <w:lang w:val="ro-MD"/>
              </w:rPr>
              <w:t xml:space="preserve"> </w:t>
            </w:r>
            <w:proofErr w:type="spellStart"/>
            <w:r w:rsidR="008671B4" w:rsidRPr="008671B4">
              <w:rPr>
                <w:rFonts w:ascii="Times New Roman" w:hAnsi="Times New Roman" w:cs="Times New Roman"/>
                <w:color w:val="000000" w:themeColor="text1"/>
                <w:lang w:val="ro-MD"/>
              </w:rPr>
              <w:t>value</w:t>
            </w:r>
            <w:proofErr w:type="spellEnd"/>
            <w:r w:rsidR="008671B4" w:rsidRPr="008671B4">
              <w:rPr>
                <w:rFonts w:ascii="Times New Roman" w:hAnsi="Times New Roman" w:cs="Times New Roman"/>
                <w:color w:val="000000" w:themeColor="text1"/>
                <w:lang w:val="ro-MD"/>
              </w:rPr>
              <w:t xml:space="preserve">” — valoarea echivalentului delta agregat) este suma valorilor delta negative sau pozitive ale opțiunilor care au același tip de suport distinct, înțeles în modul descris la </w:t>
            </w:r>
            <w:r>
              <w:rPr>
                <w:rFonts w:ascii="Times New Roman" w:hAnsi="Times New Roman" w:cs="Times New Roman"/>
                <w:color w:val="000000" w:themeColor="text1"/>
                <w:lang w:val="ro-MD"/>
              </w:rPr>
              <w:t>pct.16</w:t>
            </w:r>
            <w:r w:rsidR="008671B4" w:rsidRPr="008671B4">
              <w:rPr>
                <w:rFonts w:ascii="Times New Roman" w:hAnsi="Times New Roman" w:cs="Times New Roman"/>
                <w:color w:val="000000" w:themeColor="text1"/>
                <w:lang w:val="ro-MD"/>
              </w:rPr>
              <w:t>, înmulțită cu valoarea de piață a suportului contractului;</w:t>
            </w:r>
          </w:p>
          <w:p w14:paraId="4EE334B8" w14:textId="54038FD5" w:rsidR="00EE5040" w:rsidRPr="006315B0" w:rsidRDefault="007C520B" w:rsidP="008671B4">
            <w:pPr>
              <w:spacing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1.2.2.</w:t>
            </w:r>
            <w:r w:rsidR="008671B4" w:rsidRPr="008671B4">
              <w:rPr>
                <w:rFonts w:ascii="Times New Roman" w:hAnsi="Times New Roman" w:cs="Times New Roman"/>
                <w:color w:val="000000" w:themeColor="text1"/>
                <w:lang w:val="ro-MD"/>
              </w:rPr>
              <w:t xml:space="preserve"> PPCU („</w:t>
            </w:r>
            <w:proofErr w:type="spellStart"/>
            <w:r w:rsidR="008671B4" w:rsidRPr="008671B4">
              <w:rPr>
                <w:rFonts w:ascii="Times New Roman" w:hAnsi="Times New Roman" w:cs="Times New Roman"/>
                <w:color w:val="000000" w:themeColor="text1"/>
                <w:lang w:val="ro-MD"/>
              </w:rPr>
              <w:t>percentage</w:t>
            </w:r>
            <w:proofErr w:type="spellEnd"/>
            <w:r w:rsidR="008671B4" w:rsidRPr="008671B4">
              <w:rPr>
                <w:rFonts w:ascii="Times New Roman" w:hAnsi="Times New Roman" w:cs="Times New Roman"/>
                <w:color w:val="000000" w:themeColor="text1"/>
                <w:lang w:val="ro-MD"/>
              </w:rPr>
              <w:t xml:space="preserve"> price </w:t>
            </w:r>
            <w:proofErr w:type="spellStart"/>
            <w:r w:rsidR="008671B4" w:rsidRPr="008671B4">
              <w:rPr>
                <w:rFonts w:ascii="Times New Roman" w:hAnsi="Times New Roman" w:cs="Times New Roman"/>
                <w:color w:val="000000" w:themeColor="text1"/>
                <w:lang w:val="ro-MD"/>
              </w:rPr>
              <w:t>change</w:t>
            </w:r>
            <w:proofErr w:type="spellEnd"/>
            <w:r w:rsidR="008671B4" w:rsidRPr="008671B4">
              <w:rPr>
                <w:rFonts w:ascii="Times New Roman" w:hAnsi="Times New Roman" w:cs="Times New Roman"/>
                <w:color w:val="000000" w:themeColor="text1"/>
                <w:lang w:val="ro-MD"/>
              </w:rPr>
              <w:t xml:space="preserve"> of </w:t>
            </w:r>
            <w:proofErr w:type="spellStart"/>
            <w:r w:rsidR="008671B4" w:rsidRPr="008671B4">
              <w:rPr>
                <w:rFonts w:ascii="Times New Roman" w:hAnsi="Times New Roman" w:cs="Times New Roman"/>
                <w:color w:val="000000" w:themeColor="text1"/>
                <w:lang w:val="ro-MD"/>
              </w:rPr>
              <w:t>the</w:t>
            </w:r>
            <w:proofErr w:type="spellEnd"/>
            <w:r w:rsidR="008671B4" w:rsidRPr="008671B4">
              <w:rPr>
                <w:rFonts w:ascii="Times New Roman" w:hAnsi="Times New Roman" w:cs="Times New Roman"/>
                <w:color w:val="000000" w:themeColor="text1"/>
                <w:lang w:val="ro-MD"/>
              </w:rPr>
              <w:t xml:space="preserve"> </w:t>
            </w:r>
            <w:proofErr w:type="spellStart"/>
            <w:r w:rsidR="008671B4" w:rsidRPr="008671B4">
              <w:rPr>
                <w:rFonts w:ascii="Times New Roman" w:hAnsi="Times New Roman" w:cs="Times New Roman"/>
                <w:color w:val="000000" w:themeColor="text1"/>
                <w:lang w:val="ro-MD"/>
              </w:rPr>
              <w:t>underlying</w:t>
            </w:r>
            <w:proofErr w:type="spellEnd"/>
            <w:r w:rsidR="008671B4" w:rsidRPr="008671B4">
              <w:rPr>
                <w:rFonts w:ascii="Times New Roman" w:hAnsi="Times New Roman" w:cs="Times New Roman"/>
                <w:color w:val="000000" w:themeColor="text1"/>
                <w:lang w:val="ro-MD"/>
              </w:rPr>
              <w:t xml:space="preserve">” — procentajul variației de preț al suportului) este procentajul variației de preț al suportului, înțeles în modul descris la </w:t>
            </w:r>
            <w:r>
              <w:rPr>
                <w:rFonts w:ascii="Times New Roman" w:hAnsi="Times New Roman" w:cs="Times New Roman"/>
                <w:color w:val="000000" w:themeColor="text1"/>
                <w:lang w:val="ro-MD"/>
              </w:rPr>
              <w:t>pct.16</w:t>
            </w:r>
            <w:r w:rsidR="008671B4" w:rsidRPr="008671B4">
              <w:rPr>
                <w:rFonts w:ascii="Times New Roman" w:hAnsi="Times New Roman" w:cs="Times New Roman"/>
                <w:color w:val="000000" w:themeColor="text1"/>
                <w:lang w:val="ro-MD"/>
              </w:rPr>
              <w:t xml:space="preserve">, care corespunde scenariului relevant determinat în etapa </w:t>
            </w:r>
            <w:r>
              <w:rPr>
                <w:rFonts w:ascii="Times New Roman" w:hAnsi="Times New Roman" w:cs="Times New Roman"/>
                <w:color w:val="000000" w:themeColor="text1"/>
                <w:lang w:val="ro-MD"/>
              </w:rPr>
              <w:t>prevăzută la subpct.25.3</w:t>
            </w:r>
            <w:r w:rsidR="008671B4" w:rsidRPr="008671B4">
              <w:rPr>
                <w:rFonts w:ascii="Times New Roman" w:hAnsi="Times New Roman" w:cs="Times New Roman"/>
                <w:color w:val="000000" w:themeColor="text1"/>
                <w:lang w:val="ro-MD"/>
              </w:rPr>
              <w:t>.</w:t>
            </w:r>
            <w:bookmarkEnd w:id="41"/>
          </w:p>
        </w:tc>
        <w:tc>
          <w:tcPr>
            <w:tcW w:w="450" w:type="pct"/>
          </w:tcPr>
          <w:p w14:paraId="17A63CF2" w14:textId="77777777" w:rsidR="00CF31B6" w:rsidRPr="00CF31B6" w:rsidRDefault="00CF31B6" w:rsidP="00CF31B6">
            <w:pPr>
              <w:spacing w:line="276" w:lineRule="auto"/>
              <w:rPr>
                <w:rFonts w:ascii="Times New Roman" w:hAnsi="Times New Roman" w:cs="Times New Roman"/>
                <w:color w:val="000000" w:themeColor="text1"/>
                <w:lang w:val="ro-MD"/>
              </w:rPr>
            </w:pPr>
            <w:r w:rsidRPr="00CF31B6">
              <w:rPr>
                <w:rFonts w:ascii="Times New Roman" w:hAnsi="Times New Roman" w:cs="Times New Roman"/>
                <w:color w:val="000000" w:themeColor="text1"/>
                <w:lang w:val="ro-MD"/>
              </w:rPr>
              <w:lastRenderedPageBreak/>
              <w:t>compatibil</w:t>
            </w:r>
          </w:p>
          <w:p w14:paraId="7D6A655C" w14:textId="77777777" w:rsidR="00EE5040" w:rsidRPr="00C25E6D" w:rsidRDefault="00EE5040" w:rsidP="00E30760">
            <w:pPr>
              <w:spacing w:line="276" w:lineRule="auto"/>
              <w:rPr>
                <w:rFonts w:ascii="Times New Roman" w:hAnsi="Times New Roman" w:cs="Times New Roman"/>
                <w:color w:val="000000" w:themeColor="text1"/>
                <w:lang w:val="ro-MD"/>
              </w:rPr>
            </w:pPr>
          </w:p>
        </w:tc>
        <w:tc>
          <w:tcPr>
            <w:tcW w:w="1261" w:type="pct"/>
          </w:tcPr>
          <w:p w14:paraId="75BF778D" w14:textId="77777777" w:rsidR="00EE5040" w:rsidRPr="00C25E6D" w:rsidRDefault="00EE5040" w:rsidP="00E30760">
            <w:pPr>
              <w:spacing w:line="276" w:lineRule="auto"/>
              <w:rPr>
                <w:rFonts w:ascii="Times New Roman" w:hAnsi="Times New Roman" w:cs="Times New Roman"/>
                <w:color w:val="000000" w:themeColor="text1"/>
                <w:lang w:val="ro-MD"/>
              </w:rPr>
            </w:pPr>
          </w:p>
        </w:tc>
      </w:tr>
    </w:tbl>
    <w:p w14:paraId="67D8C027" w14:textId="77777777" w:rsidR="00B65ABB" w:rsidRPr="00C25E6D" w:rsidRDefault="00B65ABB">
      <w:pPr>
        <w:rPr>
          <w:lang w:val="ro-MD"/>
        </w:rPr>
      </w:pPr>
    </w:p>
    <w:sectPr w:rsidR="00B65ABB" w:rsidRPr="00C25E6D" w:rsidSect="00465164">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56E2" w14:textId="77777777" w:rsidR="00465164" w:rsidRDefault="00465164" w:rsidP="00C25E6D">
      <w:pPr>
        <w:spacing w:after="0" w:line="240" w:lineRule="auto"/>
      </w:pPr>
      <w:r>
        <w:separator/>
      </w:r>
    </w:p>
  </w:endnote>
  <w:endnote w:type="continuationSeparator" w:id="0">
    <w:p w14:paraId="199170CD" w14:textId="77777777" w:rsidR="00465164" w:rsidRDefault="00465164" w:rsidP="00C2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D7CF" w14:textId="5F75A7B0" w:rsidR="00C25E6D" w:rsidRDefault="00C25E6D">
    <w:pPr>
      <w:pStyle w:val="Footer"/>
    </w:pPr>
    <w:r>
      <w:rPr>
        <w:noProof/>
      </w:rPr>
      <mc:AlternateContent>
        <mc:Choice Requires="wps">
          <w:drawing>
            <wp:anchor distT="0" distB="0" distL="0" distR="0" simplePos="0" relativeHeight="251662336" behindDoc="0" locked="0" layoutInCell="1" allowOverlap="1" wp14:anchorId="3FAEF6AF" wp14:editId="29B4DE3B">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70BF3" w14:textId="50B2376D"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EF6AF"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F970BF3" w14:textId="50B2376D"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68508"/>
      <w:docPartObj>
        <w:docPartGallery w:val="Page Numbers (Bottom of Page)"/>
        <w:docPartUnique/>
      </w:docPartObj>
    </w:sdtPr>
    <w:sdtEndPr>
      <w:rPr>
        <w:noProof/>
      </w:rPr>
    </w:sdtEndPr>
    <w:sdtContent>
      <w:p w14:paraId="0E2E1B97" w14:textId="0832B26A" w:rsidR="00E27078" w:rsidRDefault="00E270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FF1CFB" w14:textId="678FAEB4" w:rsidR="00C25E6D" w:rsidRDefault="00C2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F190" w14:textId="0730335E" w:rsidR="00C25E6D" w:rsidRDefault="00C25E6D">
    <w:pPr>
      <w:pStyle w:val="Footer"/>
    </w:pPr>
    <w:r>
      <w:rPr>
        <w:noProof/>
      </w:rPr>
      <mc:AlternateContent>
        <mc:Choice Requires="wps">
          <w:drawing>
            <wp:anchor distT="0" distB="0" distL="0" distR="0" simplePos="0" relativeHeight="251661312" behindDoc="0" locked="0" layoutInCell="1" allowOverlap="1" wp14:anchorId="5F2F404A" wp14:editId="0435244A">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A8286" w14:textId="1E6E1AE2"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F404A"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4DFA8286" w14:textId="1E6E1AE2"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35DE" w14:textId="77777777" w:rsidR="00465164" w:rsidRDefault="00465164" w:rsidP="00C25E6D">
      <w:pPr>
        <w:spacing w:after="0" w:line="240" w:lineRule="auto"/>
      </w:pPr>
      <w:r>
        <w:separator/>
      </w:r>
    </w:p>
  </w:footnote>
  <w:footnote w:type="continuationSeparator" w:id="0">
    <w:p w14:paraId="730840C3" w14:textId="77777777" w:rsidR="00465164" w:rsidRDefault="00465164" w:rsidP="00C2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737" w14:textId="4B5D694A" w:rsidR="00C25E6D" w:rsidRDefault="00C25E6D">
    <w:pPr>
      <w:pStyle w:val="Header"/>
    </w:pPr>
    <w:r>
      <w:rPr>
        <w:noProof/>
      </w:rPr>
      <mc:AlternateContent>
        <mc:Choice Requires="wps">
          <w:drawing>
            <wp:anchor distT="0" distB="0" distL="0" distR="0" simplePos="0" relativeHeight="251659264" behindDoc="0" locked="0" layoutInCell="1" allowOverlap="1" wp14:anchorId="599D248E" wp14:editId="7A61428E">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8386F" w14:textId="0959ECAB"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9D248E"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FB8386F" w14:textId="0959ECAB"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858" w14:textId="2E905C18" w:rsidR="00C25E6D" w:rsidRDefault="00C25E6D">
    <w:pPr>
      <w:pStyle w:val="Header"/>
    </w:pPr>
    <w:r>
      <w:rPr>
        <w:noProof/>
      </w:rPr>
      <mc:AlternateContent>
        <mc:Choice Requires="wps">
          <w:drawing>
            <wp:anchor distT="0" distB="0" distL="0" distR="0" simplePos="0" relativeHeight="251660288" behindDoc="0" locked="0" layoutInCell="1" allowOverlap="1" wp14:anchorId="7329DAE3" wp14:editId="243DCE8C">
              <wp:simplePos x="1078173" y="450376"/>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3D57" w14:textId="2227E230"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29DAE3"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02F23D57" w14:textId="2227E230"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96BC" w14:textId="37120934" w:rsidR="00C25E6D" w:rsidRDefault="00C25E6D">
    <w:pPr>
      <w:pStyle w:val="Header"/>
    </w:pPr>
    <w:r>
      <w:rPr>
        <w:noProof/>
      </w:rPr>
      <mc:AlternateContent>
        <mc:Choice Requires="wps">
          <w:drawing>
            <wp:anchor distT="0" distB="0" distL="0" distR="0" simplePos="0" relativeHeight="251658240" behindDoc="0" locked="0" layoutInCell="1" allowOverlap="1" wp14:anchorId="49F7E083" wp14:editId="22EBF624">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55B50" w14:textId="305CE30E"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7E083"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4A155B50" w14:textId="305CE30E"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96"/>
    <w:rsid w:val="000217C9"/>
    <w:rsid w:val="00094EC7"/>
    <w:rsid w:val="00132E64"/>
    <w:rsid w:val="00187B31"/>
    <w:rsid w:val="001B1ED2"/>
    <w:rsid w:val="001E4BBF"/>
    <w:rsid w:val="00222DAD"/>
    <w:rsid w:val="002270FA"/>
    <w:rsid w:val="00234B29"/>
    <w:rsid w:val="0025359F"/>
    <w:rsid w:val="00267CA7"/>
    <w:rsid w:val="002710A2"/>
    <w:rsid w:val="002D32DD"/>
    <w:rsid w:val="00340CBE"/>
    <w:rsid w:val="003431B2"/>
    <w:rsid w:val="00376CC1"/>
    <w:rsid w:val="00377388"/>
    <w:rsid w:val="003838D0"/>
    <w:rsid w:val="00391AE1"/>
    <w:rsid w:val="003C3665"/>
    <w:rsid w:val="004069E3"/>
    <w:rsid w:val="00465164"/>
    <w:rsid w:val="004A3AC6"/>
    <w:rsid w:val="00500796"/>
    <w:rsid w:val="00533B5F"/>
    <w:rsid w:val="00535706"/>
    <w:rsid w:val="0055214B"/>
    <w:rsid w:val="005A569A"/>
    <w:rsid w:val="006315B0"/>
    <w:rsid w:val="0077629B"/>
    <w:rsid w:val="007C520B"/>
    <w:rsid w:val="0080226E"/>
    <w:rsid w:val="008671B4"/>
    <w:rsid w:val="0087776C"/>
    <w:rsid w:val="00885623"/>
    <w:rsid w:val="008A0575"/>
    <w:rsid w:val="008B28BB"/>
    <w:rsid w:val="008D74CE"/>
    <w:rsid w:val="009110A8"/>
    <w:rsid w:val="009E3C37"/>
    <w:rsid w:val="00A17762"/>
    <w:rsid w:val="00A22902"/>
    <w:rsid w:val="00A45A84"/>
    <w:rsid w:val="00AE4172"/>
    <w:rsid w:val="00AF6A54"/>
    <w:rsid w:val="00B56E07"/>
    <w:rsid w:val="00B5750B"/>
    <w:rsid w:val="00B65ABB"/>
    <w:rsid w:val="00BF4082"/>
    <w:rsid w:val="00C06241"/>
    <w:rsid w:val="00C25E6D"/>
    <w:rsid w:val="00CC1692"/>
    <w:rsid w:val="00CF31B6"/>
    <w:rsid w:val="00D14BD5"/>
    <w:rsid w:val="00D17D4A"/>
    <w:rsid w:val="00DF51CD"/>
    <w:rsid w:val="00E16808"/>
    <w:rsid w:val="00E27078"/>
    <w:rsid w:val="00E30DB4"/>
    <w:rsid w:val="00E460BE"/>
    <w:rsid w:val="00EE5040"/>
    <w:rsid w:val="00F478CE"/>
    <w:rsid w:val="00F5414C"/>
    <w:rsid w:val="00F650AB"/>
    <w:rsid w:val="00F83CD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FA82"/>
  <w15:chartTrackingRefBased/>
  <w15:docId w15:val="{529ED341-A021-4314-928F-26CDBEB5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E6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E6D"/>
    <w:pPr>
      <w:tabs>
        <w:tab w:val="center" w:pos="4677"/>
        <w:tab w:val="right" w:pos="9355"/>
      </w:tabs>
      <w:spacing w:after="0" w:line="240" w:lineRule="auto"/>
    </w:pPr>
    <w:rPr>
      <w:kern w:val="2"/>
      <w:lang w:val="ro-MD"/>
      <w14:ligatures w14:val="standardContextual"/>
    </w:rPr>
  </w:style>
  <w:style w:type="character" w:customStyle="1" w:styleId="HeaderChar">
    <w:name w:val="Header Char"/>
    <w:basedOn w:val="DefaultParagraphFont"/>
    <w:link w:val="Header"/>
    <w:uiPriority w:val="99"/>
    <w:rsid w:val="00C25E6D"/>
  </w:style>
  <w:style w:type="paragraph" w:styleId="Footer">
    <w:name w:val="footer"/>
    <w:basedOn w:val="Normal"/>
    <w:link w:val="FooterChar"/>
    <w:uiPriority w:val="99"/>
    <w:unhideWhenUsed/>
    <w:rsid w:val="00C25E6D"/>
    <w:pPr>
      <w:tabs>
        <w:tab w:val="center" w:pos="4677"/>
        <w:tab w:val="right" w:pos="9355"/>
      </w:tabs>
      <w:spacing w:after="0" w:line="240" w:lineRule="auto"/>
    </w:pPr>
    <w:rPr>
      <w:kern w:val="2"/>
      <w:lang w:val="ro-MD"/>
      <w14:ligatures w14:val="standardContextual"/>
    </w:rPr>
  </w:style>
  <w:style w:type="character" w:customStyle="1" w:styleId="FooterChar">
    <w:name w:val="Footer Char"/>
    <w:basedOn w:val="DefaultParagraphFont"/>
    <w:link w:val="Footer"/>
    <w:uiPriority w:val="99"/>
    <w:rsid w:val="00C25E6D"/>
  </w:style>
  <w:style w:type="paragraph" w:styleId="Revision">
    <w:name w:val="Revision"/>
    <w:hidden/>
    <w:uiPriority w:val="99"/>
    <w:semiHidden/>
    <w:rsid w:val="004069E3"/>
    <w:pPr>
      <w:spacing w:after="0" w:line="240" w:lineRule="auto"/>
    </w:pPr>
    <w:rPr>
      <w:kern w:val="0"/>
      <w:lang w:val="en-US"/>
      <w14:ligatures w14:val="none"/>
    </w:rPr>
  </w:style>
  <w:style w:type="paragraph" w:styleId="ListParagraph">
    <w:name w:val="List Paragraph"/>
    <w:basedOn w:val="Normal"/>
    <w:uiPriority w:val="34"/>
    <w:qFormat/>
    <w:rsid w:val="007C520B"/>
    <w:pPr>
      <w:ind w:left="720"/>
      <w:contextualSpacing/>
    </w:pPr>
  </w:style>
  <w:style w:type="character" w:styleId="CommentReference">
    <w:name w:val="annotation reference"/>
    <w:basedOn w:val="DefaultParagraphFont"/>
    <w:uiPriority w:val="99"/>
    <w:semiHidden/>
    <w:unhideWhenUsed/>
    <w:rsid w:val="00F5414C"/>
    <w:rPr>
      <w:sz w:val="16"/>
      <w:szCs w:val="16"/>
    </w:rPr>
  </w:style>
  <w:style w:type="paragraph" w:styleId="CommentText">
    <w:name w:val="annotation text"/>
    <w:basedOn w:val="Normal"/>
    <w:link w:val="CommentTextChar"/>
    <w:uiPriority w:val="99"/>
    <w:unhideWhenUsed/>
    <w:rsid w:val="00F5414C"/>
    <w:pPr>
      <w:spacing w:line="240" w:lineRule="auto"/>
    </w:pPr>
    <w:rPr>
      <w:sz w:val="20"/>
      <w:szCs w:val="20"/>
    </w:rPr>
  </w:style>
  <w:style w:type="character" w:customStyle="1" w:styleId="CommentTextChar">
    <w:name w:val="Comment Text Char"/>
    <w:basedOn w:val="DefaultParagraphFont"/>
    <w:link w:val="CommentText"/>
    <w:uiPriority w:val="99"/>
    <w:rsid w:val="00F5414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414C"/>
    <w:rPr>
      <w:b/>
      <w:bCs/>
    </w:rPr>
  </w:style>
  <w:style w:type="character" w:customStyle="1" w:styleId="CommentSubjectChar">
    <w:name w:val="Comment Subject Char"/>
    <w:basedOn w:val="CommentTextChar"/>
    <w:link w:val="CommentSubject"/>
    <w:uiPriority w:val="99"/>
    <w:semiHidden/>
    <w:rsid w:val="00F5414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FB1D4-7AA1-4949-9175-9510FA60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23</Pages>
  <Words>5669</Words>
  <Characters>32884</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2026-03-05T06:47:00Z</dcterms:created>
  <dcterms:modified xsi:type="dcterms:W3CDTF">2026-06-19T09:01:00Z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2026-03-04T06:08:56Z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0a65e0b4-2d7c-4757-ac8b-c0789daee546</vt:lpwstr>
  </property>
  <property fmtid="{D5CDD505-2E9C-101B-9397-08002B2CF9AE}" pid="14" name="MSIP_Label_70108aff-3426-4749-9d04-de3a5077dcce_ContentBits">
    <vt:lpwstr>3</vt:lpwstr>
  </property>
</Properties>
</file>